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DB" w:rsidRPr="004F2B59" w:rsidRDefault="00A673AB" w:rsidP="004F2B59">
      <w:pPr>
        <w:spacing w:after="0" w:line="320" w:lineRule="exact"/>
        <w:ind w:firstLine="432"/>
        <w:jc w:val="center"/>
        <w:rPr>
          <w:rFonts w:ascii="Book Antiqua" w:hAnsi="Book Antiqua" w:cs="Times New Roman"/>
          <w:b/>
          <w:sz w:val="28"/>
          <w:szCs w:val="28"/>
          <w:lang w:val="en-US"/>
        </w:rPr>
      </w:pPr>
      <w:r w:rsidRPr="004F2B59">
        <w:rPr>
          <w:rFonts w:ascii="Book Antiqua" w:hAnsi="Book Antiqua" w:cs="Times New Roman"/>
          <w:b/>
          <w:sz w:val="28"/>
          <w:szCs w:val="28"/>
        </w:rPr>
        <w:t xml:space="preserve">Navigating Crossroads of </w:t>
      </w:r>
      <w:r w:rsidRPr="004F2B59">
        <w:rPr>
          <w:rFonts w:ascii="Book Antiqua" w:hAnsi="Book Antiqua" w:cs="Times New Roman"/>
          <w:b/>
          <w:bCs/>
          <w:sz w:val="28"/>
          <w:szCs w:val="28"/>
        </w:rPr>
        <w:t>Consensual Adolescent Relationships </w:t>
      </w:r>
      <w:r w:rsidRPr="004F2B59">
        <w:rPr>
          <w:rFonts w:ascii="Book Antiqua" w:hAnsi="Book Antiqua" w:cs="Times New Roman"/>
          <w:b/>
          <w:sz w:val="28"/>
          <w:szCs w:val="28"/>
        </w:rPr>
        <w:t>And Sexual Autonomy In India: The</w:t>
      </w:r>
      <w:r w:rsidRPr="004F2B59">
        <w:rPr>
          <w:rFonts w:ascii="Book Antiqua" w:hAnsi="Book Antiqua" w:cs="Times New Roman"/>
          <w:b/>
          <w:sz w:val="28"/>
          <w:szCs w:val="28"/>
          <w:lang w:val="en-US"/>
        </w:rPr>
        <w:t xml:space="preserve"> Need For Having A Close-In-Age Exception</w:t>
      </w:r>
    </w:p>
    <w:p w:rsidR="004F2B59" w:rsidRPr="004F2B59" w:rsidRDefault="004F2B59" w:rsidP="004F2B59">
      <w:pPr>
        <w:spacing w:after="0" w:line="320" w:lineRule="exact"/>
        <w:ind w:firstLine="432"/>
        <w:jc w:val="both"/>
        <w:rPr>
          <w:rFonts w:ascii="Times New Roman" w:hAnsi="Times New Roman" w:cs="Times New Roman"/>
          <w:b/>
          <w:bCs/>
          <w:lang w:val="en-US"/>
        </w:rPr>
      </w:pPr>
    </w:p>
    <w:p w:rsidR="00C608C5" w:rsidRPr="004F2B59" w:rsidRDefault="00E63432" w:rsidP="004F2B59">
      <w:pPr>
        <w:spacing w:after="0" w:line="320" w:lineRule="exact"/>
        <w:ind w:firstLine="432"/>
        <w:jc w:val="right"/>
        <w:rPr>
          <w:rFonts w:ascii="Times New Roman" w:hAnsi="Times New Roman" w:cs="Times New Roman"/>
          <w:b/>
          <w:bCs/>
          <w:lang w:val="en-US"/>
        </w:rPr>
      </w:pPr>
      <w:r w:rsidRPr="004F2B59">
        <w:rPr>
          <w:rFonts w:ascii="Times New Roman" w:hAnsi="Times New Roman" w:cs="Times New Roman"/>
          <w:b/>
          <w:bCs/>
          <w:lang w:val="en-US"/>
        </w:rPr>
        <w:t>Mr. Aayush Tripathi</w:t>
      </w:r>
      <w:r w:rsidR="004F2B59" w:rsidRPr="004F2B59">
        <w:rPr>
          <w:rStyle w:val="FootnoteReference"/>
          <w:rFonts w:ascii="Times New Roman" w:hAnsi="Times New Roman" w:cs="Times New Roman"/>
          <w:b/>
          <w:bCs/>
          <w:lang w:val="en-US"/>
        </w:rPr>
        <w:footnoteReference w:customMarkFollows="1" w:id="2"/>
        <w:sym w:font="Symbol" w:char="F02A"/>
      </w:r>
    </w:p>
    <w:p w:rsidR="001864DB" w:rsidRDefault="00E63432" w:rsidP="004F2B59">
      <w:pPr>
        <w:spacing w:after="0" w:line="320" w:lineRule="exact"/>
        <w:ind w:firstLine="432"/>
        <w:jc w:val="right"/>
        <w:rPr>
          <w:rFonts w:ascii="Times New Roman" w:hAnsi="Times New Roman" w:cs="Times New Roman"/>
          <w:b/>
          <w:bCs/>
          <w:lang w:val="en-US"/>
        </w:rPr>
      </w:pPr>
      <w:r w:rsidRPr="004F2B59">
        <w:rPr>
          <w:rFonts w:ascii="Times New Roman" w:hAnsi="Times New Roman" w:cs="Times New Roman"/>
          <w:b/>
          <w:bCs/>
          <w:lang w:val="en-US"/>
        </w:rPr>
        <w:t>Dr. Harleen Kaur</w:t>
      </w:r>
      <w:r w:rsidR="004F2B59" w:rsidRPr="004F2B59">
        <w:rPr>
          <w:rStyle w:val="FootnoteReference"/>
          <w:rFonts w:ascii="Times New Roman" w:hAnsi="Times New Roman" w:cs="Times New Roman"/>
          <w:b/>
          <w:bCs/>
          <w:lang w:val="en-US"/>
        </w:rPr>
        <w:footnoteReference w:customMarkFollows="1" w:id="3"/>
        <w:sym w:font="Symbol" w:char="F02A"/>
      </w:r>
      <w:r w:rsidR="004F2B59" w:rsidRPr="004F2B59">
        <w:rPr>
          <w:rStyle w:val="FootnoteReference"/>
          <w:rFonts w:ascii="Times New Roman" w:hAnsi="Times New Roman" w:cs="Times New Roman"/>
          <w:b/>
          <w:bCs/>
          <w:lang w:val="en-US"/>
        </w:rPr>
        <w:sym w:font="Symbol" w:char="F02A"/>
      </w:r>
    </w:p>
    <w:p w:rsidR="004F2B59" w:rsidRPr="004F2B59" w:rsidRDefault="004F2B59" w:rsidP="004F2B59">
      <w:pPr>
        <w:spacing w:after="0" w:line="320" w:lineRule="exact"/>
        <w:ind w:firstLine="432"/>
        <w:jc w:val="right"/>
        <w:rPr>
          <w:rFonts w:ascii="Times New Roman" w:hAnsi="Times New Roman" w:cs="Times New Roman"/>
          <w:b/>
          <w:bCs/>
          <w:lang w:val="en-US"/>
        </w:rPr>
      </w:pPr>
    </w:p>
    <w:p w:rsidR="001864DB" w:rsidRPr="004F2B59" w:rsidRDefault="001864DB" w:rsidP="004F2B59">
      <w:pPr>
        <w:spacing w:after="0" w:line="320" w:lineRule="exact"/>
        <w:ind w:firstLine="432"/>
        <w:jc w:val="center"/>
        <w:rPr>
          <w:rFonts w:ascii="Times New Roman" w:hAnsi="Times New Roman" w:cs="Times New Roman"/>
          <w:b/>
          <w:bCs/>
          <w:i/>
          <w:sz w:val="24"/>
          <w:szCs w:val="24"/>
          <w:lang w:val="en-US"/>
        </w:rPr>
      </w:pPr>
      <w:r w:rsidRPr="004F2B59">
        <w:rPr>
          <w:rFonts w:ascii="Times New Roman" w:hAnsi="Times New Roman" w:cs="Times New Roman"/>
          <w:b/>
          <w:bCs/>
          <w:i/>
          <w:sz w:val="24"/>
          <w:szCs w:val="24"/>
          <w:u w:val="single"/>
          <w:lang w:val="en-US"/>
        </w:rPr>
        <w:t>ABSTRACT</w:t>
      </w:r>
    </w:p>
    <w:p w:rsidR="001864DB" w:rsidRPr="004F2B59" w:rsidRDefault="00940AD5"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The Prevention of Children a</w:t>
      </w:r>
      <w:r w:rsidR="00A93E46" w:rsidRPr="004F2B59">
        <w:rPr>
          <w:rFonts w:ascii="Times New Roman" w:hAnsi="Times New Roman" w:cs="Times New Roman"/>
          <w:lang w:val="en-US"/>
        </w:rPr>
        <w:t xml:space="preserve">gainst Sexual Offences Act, 2012 (POCSO Act) is the premier legislation in India enacted with the objective </w:t>
      </w:r>
      <w:r w:rsidR="00BD5B95" w:rsidRPr="004F2B59">
        <w:rPr>
          <w:rFonts w:ascii="Times New Roman" w:hAnsi="Times New Roman" w:cs="Times New Roman"/>
          <w:lang w:val="en-US"/>
        </w:rPr>
        <w:t>of</w:t>
      </w:r>
      <w:r w:rsidR="00A93E46" w:rsidRPr="004F2B59">
        <w:rPr>
          <w:rFonts w:ascii="Times New Roman" w:hAnsi="Times New Roman" w:cs="Times New Roman"/>
          <w:lang w:val="en-US"/>
        </w:rPr>
        <w:t xml:space="preserve"> protect</w:t>
      </w:r>
      <w:r w:rsidR="00BD5B95" w:rsidRPr="004F2B59">
        <w:rPr>
          <w:rFonts w:ascii="Times New Roman" w:hAnsi="Times New Roman" w:cs="Times New Roman"/>
          <w:lang w:val="en-US"/>
        </w:rPr>
        <w:t>ing</w:t>
      </w:r>
      <w:r w:rsidR="00A93E46" w:rsidRPr="004F2B59">
        <w:rPr>
          <w:rFonts w:ascii="Times New Roman" w:hAnsi="Times New Roman" w:cs="Times New Roman"/>
          <w:lang w:val="en-US"/>
        </w:rPr>
        <w:t xml:space="preserve"> children from sexual offences in the country. It defines a </w:t>
      </w:r>
      <w:r w:rsidR="00A93E46" w:rsidRPr="004F2B59">
        <w:rPr>
          <w:rFonts w:ascii="Times New Roman" w:hAnsi="Times New Roman" w:cs="Times New Roman"/>
          <w:i/>
          <w:iCs/>
          <w:lang w:val="en-US"/>
        </w:rPr>
        <w:t xml:space="preserve">child </w:t>
      </w:r>
      <w:r w:rsidR="00A93E46" w:rsidRPr="004F2B59">
        <w:rPr>
          <w:rFonts w:ascii="Times New Roman" w:hAnsi="Times New Roman" w:cs="Times New Roman"/>
          <w:lang w:val="en-US"/>
        </w:rPr>
        <w:t xml:space="preserve">as any person under the age of 18 years and </w:t>
      </w:r>
      <w:r w:rsidR="00BD5B95" w:rsidRPr="004F2B59">
        <w:rPr>
          <w:rFonts w:ascii="Times New Roman" w:hAnsi="Times New Roman" w:cs="Times New Roman"/>
          <w:lang w:val="en-US"/>
        </w:rPr>
        <w:t xml:space="preserve">criminalizes any activity with a person, thereby also penalizing consensual romantic relationships which often lead to sexual activities and provides no exception. </w:t>
      </w:r>
      <w:r w:rsidR="006C2D92" w:rsidRPr="004F2B59">
        <w:rPr>
          <w:rFonts w:ascii="Times New Roman" w:hAnsi="Times New Roman" w:cs="Times New Roman"/>
          <w:lang w:val="en-US"/>
        </w:rPr>
        <w:t xml:space="preserve">Such a provision not only delegitimizes the consent of children and adolescents but also represses their sexual autonomy. It also disrespects their evolving capacities as human beings and tries to brush under the carpet a very different reality where such activities are very common. In a conservative society like India, sex is considered a taboo and dealt with in a paternalistic manner by parents as well as government authorities, the POCSO Act and its provisions have become a tool for guardians to punish their children for being involved in romantic relationships with the opposite sex. </w:t>
      </w:r>
      <w:r w:rsidR="001B4F89" w:rsidRPr="004F2B59">
        <w:rPr>
          <w:rFonts w:ascii="Times New Roman" w:hAnsi="Times New Roman" w:cs="Times New Roman"/>
          <w:lang w:val="en-US"/>
        </w:rPr>
        <w:t xml:space="preserve">The judiciary on the other hand, despite the Act being </w:t>
      </w:r>
      <w:r w:rsidR="00C24660" w:rsidRPr="004F2B59">
        <w:rPr>
          <w:rFonts w:ascii="Times New Roman" w:hAnsi="Times New Roman" w:cs="Times New Roman"/>
          <w:lang w:val="en-US"/>
        </w:rPr>
        <w:t xml:space="preserve">a </w:t>
      </w:r>
      <w:r w:rsidR="001B4F89" w:rsidRPr="004F2B59">
        <w:rPr>
          <w:rFonts w:ascii="Times New Roman" w:hAnsi="Times New Roman" w:cs="Times New Roman"/>
          <w:lang w:val="en-US"/>
        </w:rPr>
        <w:t xml:space="preserve">penal legislation, has interpreted the provisions of the act liberally and most romantic cases have resulted in acquittals. The primary factors in such an approach have either been the victims turning hostile or the victims getting married voluntarily to the accused during the trial and sometimes even having a child. Thus, looking at the practical realities of life, the courts have acquitted the accused. This is the dichotomy that this paper seeks to address, that while on one hand, there is a law that prohibits all consensual romantic </w:t>
      </w:r>
      <w:r w:rsidR="001B4F89" w:rsidRPr="004F2B59">
        <w:rPr>
          <w:rFonts w:ascii="Times New Roman" w:hAnsi="Times New Roman" w:cs="Times New Roman"/>
          <w:lang w:val="en-US"/>
        </w:rPr>
        <w:lastRenderedPageBreak/>
        <w:t>relationships between children and adolescents, on the other hand, their occurrence is common</w:t>
      </w:r>
      <w:r w:rsidR="00155949" w:rsidRPr="004F2B59">
        <w:rPr>
          <w:rFonts w:ascii="Times New Roman" w:hAnsi="Times New Roman" w:cs="Times New Roman"/>
          <w:lang w:val="en-US"/>
        </w:rPr>
        <w:t xml:space="preserve"> which is backed by empirical data from government and non-government agencies</w:t>
      </w:r>
      <w:r w:rsidR="001B4F89" w:rsidRPr="004F2B59">
        <w:rPr>
          <w:rFonts w:ascii="Times New Roman" w:hAnsi="Times New Roman" w:cs="Times New Roman"/>
          <w:lang w:val="en-US"/>
        </w:rPr>
        <w:t xml:space="preserve"> and even the judiciary is willing to accept them. </w:t>
      </w:r>
      <w:r w:rsidR="00A82355" w:rsidRPr="004F2B59">
        <w:rPr>
          <w:rFonts w:ascii="Times New Roman" w:hAnsi="Times New Roman" w:cs="Times New Roman"/>
          <w:lang w:val="en-US"/>
        </w:rPr>
        <w:t xml:space="preserve">It also tries to address the debate around the age of consent and of the </w:t>
      </w:r>
      <w:r w:rsidR="00A82355" w:rsidRPr="004F2B59">
        <w:rPr>
          <w:rFonts w:ascii="Times New Roman" w:hAnsi="Times New Roman" w:cs="Times New Roman"/>
          <w:i/>
          <w:iCs/>
          <w:lang w:val="en-US"/>
        </w:rPr>
        <w:t xml:space="preserve">close-in-age </w:t>
      </w:r>
      <w:r w:rsidR="00A82355" w:rsidRPr="004F2B59">
        <w:rPr>
          <w:rFonts w:ascii="Times New Roman" w:hAnsi="Times New Roman" w:cs="Times New Roman"/>
          <w:lang w:val="en-US"/>
        </w:rPr>
        <w:t>exception in India, a concept prevalent in my countries across Europe and North America.</w:t>
      </w:r>
    </w:p>
    <w:p w:rsidR="00D07F68" w:rsidRPr="004F2B59" w:rsidRDefault="00D07F68" w:rsidP="004F2B59">
      <w:pPr>
        <w:spacing w:after="0" w:line="320" w:lineRule="exact"/>
        <w:ind w:firstLine="432"/>
        <w:jc w:val="both"/>
        <w:rPr>
          <w:rFonts w:ascii="Times New Roman" w:hAnsi="Times New Roman" w:cs="Times New Roman"/>
          <w:i/>
          <w:iCs/>
          <w:lang w:val="en-US"/>
        </w:rPr>
      </w:pPr>
    </w:p>
    <w:p w:rsidR="00BD1434" w:rsidRDefault="00191419" w:rsidP="004F2B59">
      <w:pPr>
        <w:spacing w:after="0" w:line="320" w:lineRule="exact"/>
        <w:ind w:firstLine="432"/>
        <w:jc w:val="both"/>
        <w:rPr>
          <w:rFonts w:ascii="Times New Roman" w:hAnsi="Times New Roman" w:cs="Times New Roman"/>
          <w:b/>
          <w:lang w:val="en-US"/>
        </w:rPr>
      </w:pPr>
      <w:r w:rsidRPr="00191419">
        <w:rPr>
          <w:rFonts w:ascii="Times New Roman" w:hAnsi="Times New Roman" w:cs="Times New Roman"/>
          <w:b/>
          <w:i/>
          <w:iCs/>
          <w:sz w:val="24"/>
          <w:lang w:val="en-US"/>
        </w:rPr>
        <w:t>Keyw</w:t>
      </w:r>
      <w:r w:rsidR="00D07F68" w:rsidRPr="00191419">
        <w:rPr>
          <w:rFonts w:ascii="Times New Roman" w:hAnsi="Times New Roman" w:cs="Times New Roman"/>
          <w:b/>
          <w:i/>
          <w:iCs/>
          <w:sz w:val="24"/>
          <w:lang w:val="en-US"/>
        </w:rPr>
        <w:t>ords</w:t>
      </w:r>
      <w:r w:rsidR="00D07F68" w:rsidRPr="004F2B59">
        <w:rPr>
          <w:rFonts w:ascii="Times New Roman" w:hAnsi="Times New Roman" w:cs="Times New Roman"/>
          <w:b/>
          <w:i/>
          <w:iCs/>
          <w:lang w:val="en-US"/>
        </w:rPr>
        <w:t xml:space="preserve">- </w:t>
      </w:r>
      <w:r w:rsidR="00D07F68" w:rsidRPr="00191419">
        <w:rPr>
          <w:rFonts w:ascii="Times New Roman" w:hAnsi="Times New Roman" w:cs="Times New Roman"/>
          <w:lang w:val="en-US"/>
        </w:rPr>
        <w:t>Children, Adolescent, Romantic Relationship, Close-In-Age Exception, Age of Consent, POCSO Act.</w:t>
      </w:r>
    </w:p>
    <w:p w:rsidR="00BD1434" w:rsidRDefault="00BD1434" w:rsidP="004F2B59">
      <w:pPr>
        <w:spacing w:after="0" w:line="320" w:lineRule="exact"/>
        <w:ind w:firstLine="432"/>
        <w:jc w:val="both"/>
        <w:rPr>
          <w:rFonts w:ascii="Times New Roman" w:hAnsi="Times New Roman" w:cs="Times New Roman"/>
          <w:b/>
          <w:lang w:val="en-US"/>
        </w:rPr>
      </w:pPr>
    </w:p>
    <w:p w:rsidR="00480288" w:rsidRPr="004F2B59" w:rsidRDefault="004F2B59" w:rsidP="004F2B59">
      <w:pPr>
        <w:spacing w:after="0" w:line="320" w:lineRule="exact"/>
        <w:ind w:firstLine="432"/>
        <w:jc w:val="both"/>
        <w:rPr>
          <w:rFonts w:ascii="Times New Roman" w:hAnsi="Times New Roman" w:cs="Times New Roman"/>
          <w:b/>
          <w:bCs/>
          <w:sz w:val="24"/>
          <w:lang w:val="en-US"/>
        </w:rPr>
      </w:pPr>
      <w:r w:rsidRPr="004F2B59">
        <w:rPr>
          <w:rFonts w:ascii="Times New Roman" w:hAnsi="Times New Roman" w:cs="Times New Roman"/>
          <w:b/>
          <w:bCs/>
          <w:sz w:val="24"/>
          <w:lang w:val="en-US"/>
        </w:rPr>
        <w:t>Introduction</w:t>
      </w:r>
    </w:p>
    <w:p w:rsidR="007D6D03" w:rsidRPr="004F2B59" w:rsidRDefault="00661AB9"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The </w:t>
      </w:r>
      <w:r w:rsidR="000B293B" w:rsidRPr="004F2B59">
        <w:rPr>
          <w:rFonts w:ascii="Times New Roman" w:hAnsi="Times New Roman" w:cs="Times New Roman"/>
          <w:lang w:val="en-US"/>
        </w:rPr>
        <w:t xml:space="preserve">Prevention of Children from Sexual Offences Act, 2012 (POCSO Act) is a milestone legislation in India enacted with the objective of protecting children from sexual offences and abuse. It </w:t>
      </w:r>
      <w:r w:rsidR="00D4484D" w:rsidRPr="004F2B59">
        <w:rPr>
          <w:rFonts w:ascii="Times New Roman" w:hAnsi="Times New Roman" w:cs="Times New Roman"/>
          <w:lang w:val="en-US"/>
        </w:rPr>
        <w:t xml:space="preserve">aimed to </w:t>
      </w:r>
      <w:r w:rsidR="000B293B" w:rsidRPr="004F2B59">
        <w:rPr>
          <w:rFonts w:ascii="Times New Roman" w:hAnsi="Times New Roman" w:cs="Times New Roman"/>
          <w:lang w:val="en-US"/>
        </w:rPr>
        <w:t>provid</w:t>
      </w:r>
      <w:r w:rsidR="00D4484D" w:rsidRPr="004F2B59">
        <w:rPr>
          <w:rFonts w:ascii="Times New Roman" w:hAnsi="Times New Roman" w:cs="Times New Roman"/>
          <w:lang w:val="en-US"/>
        </w:rPr>
        <w:t>e</w:t>
      </w:r>
      <w:r w:rsidR="000B293B" w:rsidRPr="004F2B59">
        <w:rPr>
          <w:rFonts w:ascii="Times New Roman" w:hAnsi="Times New Roman" w:cs="Times New Roman"/>
          <w:lang w:val="en-US"/>
        </w:rPr>
        <w:t xml:space="preserve"> a robust </w:t>
      </w:r>
      <w:r w:rsidR="00CF0C8E" w:rsidRPr="004F2B59">
        <w:rPr>
          <w:rFonts w:ascii="Times New Roman" w:hAnsi="Times New Roman" w:cs="Times New Roman"/>
          <w:lang w:val="en-US"/>
        </w:rPr>
        <w:t xml:space="preserve">legal </w:t>
      </w:r>
      <w:r w:rsidR="000B293B" w:rsidRPr="004F2B59">
        <w:rPr>
          <w:rFonts w:ascii="Times New Roman" w:hAnsi="Times New Roman" w:cs="Times New Roman"/>
          <w:lang w:val="en-US"/>
        </w:rPr>
        <w:t>frame</w:t>
      </w:r>
      <w:r w:rsidR="00B324C8">
        <w:rPr>
          <w:rFonts w:ascii="Times New Roman" w:hAnsi="Times New Roman" w:cs="Times New Roman"/>
          <w:lang w:val="en-US"/>
        </w:rPr>
        <w:t xml:space="preserve"> </w:t>
      </w:r>
      <w:r w:rsidR="000B293B" w:rsidRPr="004F2B59">
        <w:rPr>
          <w:rFonts w:ascii="Times New Roman" w:hAnsi="Times New Roman" w:cs="Times New Roman"/>
          <w:lang w:val="en-US"/>
        </w:rPr>
        <w:t>work</w:t>
      </w:r>
      <w:r w:rsidR="00B324C8">
        <w:rPr>
          <w:rFonts w:ascii="Times New Roman" w:hAnsi="Times New Roman" w:cs="Times New Roman"/>
          <w:lang w:val="en-US"/>
        </w:rPr>
        <w:t xml:space="preserve"> </w:t>
      </w:r>
      <w:r w:rsidR="00CF0C8E" w:rsidRPr="004F2B59">
        <w:rPr>
          <w:rFonts w:ascii="Times New Roman" w:hAnsi="Times New Roman" w:cs="Times New Roman"/>
          <w:lang w:val="en-US"/>
        </w:rPr>
        <w:t xml:space="preserve">for the punishment, reporting along with providing </w:t>
      </w:r>
      <w:r w:rsidR="00D4484D" w:rsidRPr="004F2B59">
        <w:rPr>
          <w:rFonts w:ascii="Times New Roman" w:hAnsi="Times New Roman" w:cs="Times New Roman"/>
          <w:lang w:val="en-US"/>
        </w:rPr>
        <w:t xml:space="preserve">child-friendly mechanism of trial for children aggrieved with sexual abuse and exploitation.  </w:t>
      </w:r>
      <w:r w:rsidR="00480288" w:rsidRPr="004F2B59">
        <w:rPr>
          <w:rFonts w:ascii="Times New Roman" w:hAnsi="Times New Roman" w:cs="Times New Roman"/>
          <w:lang w:val="en-US"/>
        </w:rPr>
        <w:t xml:space="preserve">The POCSO Act has been widely welcomed, not just because it has filled the void regarding children affected by sexual offences but also because of its gender neutrality. </w:t>
      </w:r>
      <w:r w:rsidR="00F63904" w:rsidRPr="004F2B59">
        <w:rPr>
          <w:rFonts w:ascii="Times New Roman" w:hAnsi="Times New Roman" w:cs="Times New Roman"/>
          <w:lang w:val="en-US"/>
        </w:rPr>
        <w:t xml:space="preserve">Prior to the enactment of the act, sexual abuse of children including offences like rape (section 375 &amp; 376) and sexual assault (section 354) was governed by </w:t>
      </w:r>
      <w:r w:rsidR="00480288" w:rsidRPr="004F2B59">
        <w:rPr>
          <w:rFonts w:ascii="Times New Roman" w:hAnsi="Times New Roman" w:cs="Times New Roman"/>
          <w:lang w:val="en-US"/>
        </w:rPr>
        <w:t>The Indian Penal Code (IPC)</w:t>
      </w:r>
      <w:r w:rsidR="00F63904" w:rsidRPr="004F2B59">
        <w:rPr>
          <w:rFonts w:ascii="Times New Roman" w:hAnsi="Times New Roman" w:cs="Times New Roman"/>
          <w:lang w:val="en-US"/>
        </w:rPr>
        <w:t>.</w:t>
      </w:r>
      <w:r w:rsidR="00480288" w:rsidRPr="004F2B59">
        <w:rPr>
          <w:rStyle w:val="FootnoteReference"/>
          <w:rFonts w:ascii="Times New Roman" w:hAnsi="Times New Roman" w:cs="Times New Roman"/>
          <w:lang w:val="en-US"/>
        </w:rPr>
        <w:footnoteReference w:id="4"/>
      </w:r>
      <w:r w:rsidR="00F63904" w:rsidRPr="004F2B59">
        <w:rPr>
          <w:rFonts w:ascii="Times New Roman" w:hAnsi="Times New Roman" w:cs="Times New Roman"/>
          <w:lang w:val="en-US"/>
        </w:rPr>
        <w:t xml:space="preserve">  The brutal gang rape of young girl in a bus in the national capital, New Delhi (Nirbhaya gang rape case) in December 2012 brought about a major amendment to the rape laws under the IPC where the definition of the offence was widely expanded to include not just pen</w:t>
      </w:r>
      <w:r w:rsidR="00A21F35" w:rsidRPr="004F2B59">
        <w:rPr>
          <w:rFonts w:ascii="Times New Roman" w:hAnsi="Times New Roman" w:cs="Times New Roman"/>
          <w:lang w:val="en-US"/>
        </w:rPr>
        <w:t>al</w:t>
      </w:r>
      <w:r w:rsidR="00F63904" w:rsidRPr="004F2B59">
        <w:rPr>
          <w:rFonts w:ascii="Times New Roman" w:hAnsi="Times New Roman" w:cs="Times New Roman"/>
          <w:lang w:val="en-US"/>
        </w:rPr>
        <w:t>-vaginal penetrative intercourse but also non-penetrative, non-consensual sexual assaults such a</w:t>
      </w:r>
      <w:r w:rsidR="003A16F8" w:rsidRPr="004F2B59">
        <w:rPr>
          <w:rFonts w:ascii="Times New Roman" w:hAnsi="Times New Roman" w:cs="Times New Roman"/>
          <w:lang w:val="en-US"/>
        </w:rPr>
        <w:t>s application penis to the mouth and application of the mouth to the vagina</w:t>
      </w:r>
      <w:r w:rsidR="00F63904" w:rsidRPr="004F2B59">
        <w:rPr>
          <w:rFonts w:ascii="Times New Roman" w:hAnsi="Times New Roman" w:cs="Times New Roman"/>
          <w:lang w:val="en-US"/>
        </w:rPr>
        <w:t>.</w:t>
      </w:r>
      <w:r w:rsidR="00F63904" w:rsidRPr="004F2B59">
        <w:rPr>
          <w:rStyle w:val="FootnoteReference"/>
          <w:rFonts w:ascii="Times New Roman" w:hAnsi="Times New Roman" w:cs="Times New Roman"/>
          <w:lang w:val="en-US"/>
        </w:rPr>
        <w:footnoteReference w:id="5"/>
      </w:r>
      <w:r w:rsidR="003A16F8" w:rsidRPr="004F2B59">
        <w:rPr>
          <w:rFonts w:ascii="Times New Roman" w:hAnsi="Times New Roman" w:cs="Times New Roman"/>
          <w:lang w:val="en-US"/>
        </w:rPr>
        <w:t xml:space="preserve"> While both the legislations are distinct in nature, they are still used in conjunction whenever a complaint of any sexual offence is registered by </w:t>
      </w:r>
      <w:r w:rsidR="003A16F8" w:rsidRPr="004F2B59">
        <w:rPr>
          <w:rFonts w:ascii="Times New Roman" w:hAnsi="Times New Roman" w:cs="Times New Roman"/>
          <w:lang w:val="en-US"/>
        </w:rPr>
        <w:lastRenderedPageBreak/>
        <w:t xml:space="preserve">a girl under </w:t>
      </w:r>
      <w:r w:rsidR="002876D1" w:rsidRPr="004F2B59">
        <w:rPr>
          <w:rFonts w:ascii="Times New Roman" w:hAnsi="Times New Roman" w:cs="Times New Roman"/>
          <w:lang w:val="en-US"/>
        </w:rPr>
        <w:t>eighteen</w:t>
      </w:r>
      <w:r w:rsidR="003A16F8" w:rsidRPr="004F2B59">
        <w:rPr>
          <w:rFonts w:ascii="Times New Roman" w:hAnsi="Times New Roman" w:cs="Times New Roman"/>
          <w:lang w:val="en-US"/>
        </w:rPr>
        <w:t xml:space="preserve"> years of age.</w:t>
      </w:r>
      <w:r w:rsidR="00343F68" w:rsidRPr="004F2B59">
        <w:rPr>
          <w:rFonts w:ascii="Times New Roman" w:hAnsi="Times New Roman" w:cs="Times New Roman"/>
          <w:lang w:val="en-US"/>
        </w:rPr>
        <w:t xml:space="preserve">The Act covers four different forms of abuse, namely- penetrative sexual assault, aggravated penetrative sexual assault, sexual assault and aggravated sexual assault making the coverage of this law very wide in its amplitude. However, the application of this act has not been without its problems. The act defines a </w:t>
      </w:r>
      <w:r w:rsidR="00343F68" w:rsidRPr="004F2B59">
        <w:rPr>
          <w:rFonts w:ascii="Times New Roman" w:hAnsi="Times New Roman" w:cs="Times New Roman"/>
          <w:i/>
          <w:iCs/>
          <w:lang w:val="en-US"/>
        </w:rPr>
        <w:t xml:space="preserve">child </w:t>
      </w:r>
      <w:r w:rsidR="00343F68" w:rsidRPr="004F2B59">
        <w:rPr>
          <w:rFonts w:ascii="Times New Roman" w:hAnsi="Times New Roman" w:cs="Times New Roman"/>
          <w:lang w:val="en-US"/>
        </w:rPr>
        <w:t xml:space="preserve">as a person below the age of </w:t>
      </w:r>
      <w:r w:rsidR="00AA246E" w:rsidRPr="004F2B59">
        <w:rPr>
          <w:rFonts w:ascii="Times New Roman" w:hAnsi="Times New Roman" w:cs="Times New Roman"/>
          <w:lang w:val="en-US"/>
        </w:rPr>
        <w:t>eighteen</w:t>
      </w:r>
      <w:r w:rsidR="00343F68" w:rsidRPr="004F2B59">
        <w:rPr>
          <w:rFonts w:ascii="Times New Roman" w:hAnsi="Times New Roman" w:cs="Times New Roman"/>
          <w:lang w:val="en-US"/>
        </w:rPr>
        <w:t xml:space="preserve"> years and stipulates mandatory reporting of sexual offences against children to the police.</w:t>
      </w:r>
      <w:r w:rsidR="00343F68" w:rsidRPr="004F2B59">
        <w:rPr>
          <w:rStyle w:val="FootnoteReference"/>
          <w:rFonts w:ascii="Times New Roman" w:hAnsi="Times New Roman" w:cs="Times New Roman"/>
          <w:lang w:val="en-US"/>
        </w:rPr>
        <w:footnoteReference w:id="6"/>
      </w:r>
      <w:r w:rsidR="00885F1C" w:rsidRPr="004F2B59">
        <w:rPr>
          <w:rFonts w:ascii="Times New Roman" w:hAnsi="Times New Roman" w:cs="Times New Roman"/>
          <w:lang w:val="en-US"/>
        </w:rPr>
        <w:t xml:space="preserve"> Defining a child under </w:t>
      </w:r>
      <w:r w:rsidR="002876D1" w:rsidRPr="004F2B59">
        <w:rPr>
          <w:rFonts w:ascii="Times New Roman" w:hAnsi="Times New Roman" w:cs="Times New Roman"/>
          <w:lang w:val="en-US"/>
        </w:rPr>
        <w:t>eighteen</w:t>
      </w:r>
      <w:r w:rsidR="00885F1C" w:rsidRPr="004F2B59">
        <w:rPr>
          <w:rFonts w:ascii="Times New Roman" w:hAnsi="Times New Roman" w:cs="Times New Roman"/>
          <w:lang w:val="en-US"/>
        </w:rPr>
        <w:t xml:space="preserve"> years of age has put the age of consent between children at </w:t>
      </w:r>
      <w:r w:rsidR="00AA246E" w:rsidRPr="004F2B59">
        <w:rPr>
          <w:rFonts w:ascii="Times New Roman" w:hAnsi="Times New Roman" w:cs="Times New Roman"/>
          <w:lang w:val="en-US"/>
        </w:rPr>
        <w:t>eighteen</w:t>
      </w:r>
      <w:r w:rsidR="00885F1C" w:rsidRPr="004F2B59">
        <w:rPr>
          <w:rFonts w:ascii="Times New Roman" w:hAnsi="Times New Roman" w:cs="Times New Roman"/>
          <w:lang w:val="en-US"/>
        </w:rPr>
        <w:t xml:space="preserve"> yearswhich</w:t>
      </w:r>
      <w:r w:rsidR="00824801" w:rsidRPr="004F2B59">
        <w:rPr>
          <w:rFonts w:ascii="Times New Roman" w:hAnsi="Times New Roman" w:cs="Times New Roman"/>
          <w:lang w:val="en-US"/>
        </w:rPr>
        <w:t xml:space="preserve"> has led to criminalization of all sexual activities</w:t>
      </w:r>
      <w:r w:rsidR="00426559" w:rsidRPr="004F2B59">
        <w:rPr>
          <w:rFonts w:ascii="Times New Roman" w:hAnsi="Times New Roman" w:cs="Times New Roman"/>
          <w:lang w:val="en-US"/>
        </w:rPr>
        <w:t>, including co</w:t>
      </w:r>
      <w:r w:rsidR="006B6781" w:rsidRPr="004F2B59">
        <w:rPr>
          <w:rFonts w:ascii="Times New Roman" w:hAnsi="Times New Roman" w:cs="Times New Roman"/>
          <w:lang w:val="en-US"/>
        </w:rPr>
        <w:t>nsensual non-penetrative sexual activities</w:t>
      </w:r>
      <w:r w:rsidR="00824801" w:rsidRPr="004F2B59">
        <w:rPr>
          <w:rFonts w:ascii="Times New Roman" w:hAnsi="Times New Roman" w:cs="Times New Roman"/>
          <w:lang w:val="en-US"/>
        </w:rPr>
        <w:t xml:space="preserve"> between </w:t>
      </w:r>
      <w:r w:rsidR="006B6781" w:rsidRPr="004F2B59">
        <w:rPr>
          <w:rFonts w:ascii="Times New Roman" w:hAnsi="Times New Roman" w:cs="Times New Roman"/>
          <w:lang w:val="en-US"/>
        </w:rPr>
        <w:t>children and between a child and an adolescent (persons in their teenage years).</w:t>
      </w:r>
      <w:r w:rsidR="006B6781" w:rsidRPr="004F2B59">
        <w:rPr>
          <w:rStyle w:val="FootnoteReference"/>
          <w:rFonts w:ascii="Times New Roman" w:hAnsi="Times New Roman" w:cs="Times New Roman"/>
          <w:lang w:val="en-US"/>
        </w:rPr>
        <w:footnoteReference w:id="7"/>
      </w:r>
      <w:r w:rsidR="00885F1C" w:rsidRPr="004F2B59">
        <w:rPr>
          <w:rFonts w:ascii="Times New Roman" w:hAnsi="Times New Roman" w:cs="Times New Roman"/>
          <w:lang w:val="en-US"/>
        </w:rPr>
        <w:t xml:space="preserve"> While protection of children from sexual offences is necessary, it is also important to understand that children, after puberty, tend to experiment with sexual activity with other children and adolescents. It is not an uncommon occurrence in any society, let alone India. However, i</w:t>
      </w:r>
      <w:r w:rsidR="006B6781" w:rsidRPr="004F2B59">
        <w:rPr>
          <w:rFonts w:ascii="Times New Roman" w:hAnsi="Times New Roman" w:cs="Times New Roman"/>
          <w:lang w:val="en-US"/>
        </w:rPr>
        <w:t xml:space="preserve">n a society like India, sex and romantic relationships, especially relationships between children are considered a taboo. Most children and their families, especially girls, are subjected to stigma and secondary victimization from society if the details of their relationships are out in the open. It is seen as a dent to the honor of the family which is not taken kindly by the family members. This has led to consensual romantic relationships between children and adolescents been subjected to be reported as cases of rape, kidnapping and sexual assaults by the families under the POCSO </w:t>
      </w:r>
      <w:r w:rsidR="00885F1C" w:rsidRPr="004F2B59">
        <w:rPr>
          <w:rFonts w:ascii="Times New Roman" w:hAnsi="Times New Roman" w:cs="Times New Roman"/>
          <w:lang w:val="en-US"/>
        </w:rPr>
        <w:t xml:space="preserve">Act.It has also </w:t>
      </w:r>
      <w:r w:rsidR="006B6781" w:rsidRPr="004F2B59">
        <w:rPr>
          <w:rFonts w:ascii="Times New Roman" w:hAnsi="Times New Roman" w:cs="Times New Roman"/>
          <w:lang w:val="en-US"/>
        </w:rPr>
        <w:t xml:space="preserve">proved to be </w:t>
      </w:r>
      <w:r w:rsidR="00C913C0" w:rsidRPr="004F2B59">
        <w:rPr>
          <w:rFonts w:ascii="Times New Roman" w:hAnsi="Times New Roman" w:cs="Times New Roman"/>
          <w:lang w:val="en-US"/>
        </w:rPr>
        <w:t>a dilemma</w:t>
      </w:r>
      <w:r w:rsidR="006B6781" w:rsidRPr="004F2B59">
        <w:rPr>
          <w:rFonts w:ascii="Times New Roman" w:hAnsi="Times New Roman" w:cs="Times New Roman"/>
          <w:lang w:val="en-US"/>
        </w:rPr>
        <w:t xml:space="preserve"> for the Special Courts enacted to adjudicate the trials under this </w:t>
      </w:r>
      <w:r w:rsidR="00885F1C" w:rsidRPr="004F2B59">
        <w:rPr>
          <w:rFonts w:ascii="Times New Roman" w:hAnsi="Times New Roman" w:cs="Times New Roman"/>
          <w:lang w:val="en-US"/>
        </w:rPr>
        <w:t>legislation.</w:t>
      </w:r>
    </w:p>
    <w:p w:rsidR="001368E1" w:rsidRPr="004F2B59" w:rsidRDefault="00885F1C"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This paper seeks to highlight the dichotomy of the POCSO Act where on one hand, it is meant to protect the interests of children, yet it is proving to be quite the opposite by suppressing their sexual autonomy which is a natural progression post puberty. It seeks to highlight the issues regarding the age of consent in India and as to how it has not </w:t>
      </w:r>
      <w:r w:rsidR="00846BF5" w:rsidRPr="004F2B59">
        <w:rPr>
          <w:rFonts w:ascii="Times New Roman" w:hAnsi="Times New Roman" w:cs="Times New Roman"/>
          <w:lang w:val="en-US"/>
        </w:rPr>
        <w:t xml:space="preserve">in </w:t>
      </w:r>
      <w:r w:rsidR="00846BF5" w:rsidRPr="004F2B59">
        <w:rPr>
          <w:rFonts w:ascii="Times New Roman" w:hAnsi="Times New Roman" w:cs="Times New Roman"/>
          <w:lang w:val="en-US"/>
        </w:rPr>
        <w:lastRenderedPageBreak/>
        <w:t xml:space="preserve">tune with the evolving capacities of children as sexual beings. It also presents the possible changes and amendments that can be implemented under the act that will not just protect children from sexual offences but also respect their evolution and sexual autonomy. </w:t>
      </w:r>
    </w:p>
    <w:p w:rsidR="000867C1" w:rsidRPr="004F2B59" w:rsidRDefault="000867C1" w:rsidP="004F2B59">
      <w:pPr>
        <w:spacing w:after="0" w:line="320" w:lineRule="exact"/>
        <w:ind w:firstLine="432"/>
        <w:jc w:val="both"/>
        <w:rPr>
          <w:rFonts w:ascii="Times New Roman" w:hAnsi="Times New Roman" w:cs="Times New Roman"/>
        </w:rPr>
      </w:pPr>
    </w:p>
    <w:p w:rsidR="00B61871" w:rsidRPr="004F2B59" w:rsidRDefault="00501CF8" w:rsidP="004F2B59">
      <w:pPr>
        <w:pStyle w:val="ListParagraph"/>
        <w:numPr>
          <w:ilvl w:val="0"/>
          <w:numId w:val="8"/>
        </w:numPr>
        <w:spacing w:after="0" w:line="320" w:lineRule="exact"/>
        <w:ind w:left="0" w:firstLine="432"/>
        <w:contextualSpacing w:val="0"/>
        <w:jc w:val="both"/>
        <w:rPr>
          <w:rFonts w:ascii="Times New Roman" w:hAnsi="Times New Roman" w:cs="Times New Roman"/>
          <w:b/>
          <w:bCs/>
          <w:lang w:val="en-US"/>
        </w:rPr>
      </w:pPr>
      <w:r w:rsidRPr="004F2B59">
        <w:rPr>
          <w:rFonts w:ascii="Times New Roman" w:hAnsi="Times New Roman" w:cs="Times New Roman"/>
          <w:b/>
          <w:bCs/>
          <w:lang w:val="en-US"/>
        </w:rPr>
        <w:t>Age of Consent- A History</w:t>
      </w:r>
    </w:p>
    <w:p w:rsidR="00B85439" w:rsidRPr="004F2B59" w:rsidRDefault="00DE5753"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A very pertinent question when it comes to adolescent sexual relationships is that of </w:t>
      </w:r>
      <w:r w:rsidRPr="004F2B59">
        <w:rPr>
          <w:rFonts w:ascii="Times New Roman" w:hAnsi="Times New Roman" w:cs="Times New Roman"/>
          <w:i/>
          <w:iCs/>
          <w:lang w:val="en-US"/>
        </w:rPr>
        <w:t>consent</w:t>
      </w:r>
      <w:r w:rsidR="00AA375A" w:rsidRPr="004F2B59">
        <w:rPr>
          <w:rFonts w:ascii="Times New Roman" w:hAnsi="Times New Roman" w:cs="Times New Roman"/>
          <w:lang w:val="en-US"/>
        </w:rPr>
        <w:t>.</w:t>
      </w:r>
      <w:r w:rsidRPr="004F2B59">
        <w:rPr>
          <w:rFonts w:ascii="Times New Roman" w:hAnsi="Times New Roman" w:cs="Times New Roman"/>
          <w:lang w:val="en-US"/>
        </w:rPr>
        <w:t xml:space="preserve"> What does consentmean when it comes to minors? Do they even have the agency to consent to a sexual relationship with a fellow minor or an adult? The answers to these questions are contentious and complicated.</w:t>
      </w:r>
      <w:r w:rsidR="005A1767">
        <w:rPr>
          <w:rFonts w:ascii="Times New Roman" w:hAnsi="Times New Roman" w:cs="Times New Roman"/>
          <w:lang w:val="en-US"/>
        </w:rPr>
        <w:t xml:space="preserve"> </w:t>
      </w:r>
      <w:r w:rsidR="00DE7353" w:rsidRPr="004F2B59">
        <w:rPr>
          <w:rFonts w:ascii="Times New Roman" w:hAnsi="Times New Roman" w:cs="Times New Roman"/>
          <w:lang w:val="en-US"/>
        </w:rPr>
        <w:t xml:space="preserve">To answer that question, </w:t>
      </w:r>
      <w:r w:rsidR="00AA375A" w:rsidRPr="004F2B59">
        <w:rPr>
          <w:rFonts w:ascii="Times New Roman" w:hAnsi="Times New Roman" w:cs="Times New Roman"/>
          <w:lang w:val="en-US"/>
        </w:rPr>
        <w:t>one must</w:t>
      </w:r>
      <w:r w:rsidR="00DE7353" w:rsidRPr="004F2B59">
        <w:rPr>
          <w:rFonts w:ascii="Times New Roman" w:hAnsi="Times New Roman" w:cs="Times New Roman"/>
          <w:lang w:val="en-US"/>
        </w:rPr>
        <w:t xml:space="preserve"> understand as to what constitutes a minor</w:t>
      </w:r>
      <w:r w:rsidR="00F03004" w:rsidRPr="004F2B59">
        <w:rPr>
          <w:rFonts w:ascii="Times New Roman" w:hAnsi="Times New Roman" w:cs="Times New Roman"/>
          <w:lang w:val="en-US"/>
        </w:rPr>
        <w:t xml:space="preserve"> in the first place. Minors are also categorized as </w:t>
      </w:r>
      <w:r w:rsidR="00F03004" w:rsidRPr="004F2B59">
        <w:rPr>
          <w:rFonts w:ascii="Times New Roman" w:hAnsi="Times New Roman" w:cs="Times New Roman"/>
          <w:i/>
          <w:iCs/>
          <w:lang w:val="en-US"/>
        </w:rPr>
        <w:t xml:space="preserve">children </w:t>
      </w:r>
      <w:r w:rsidR="00F03004" w:rsidRPr="004F2B59">
        <w:rPr>
          <w:rFonts w:ascii="Times New Roman" w:hAnsi="Times New Roman" w:cs="Times New Roman"/>
          <w:lang w:val="en-US"/>
        </w:rPr>
        <w:t>due to t</w:t>
      </w:r>
      <w:r w:rsidR="00AA375A" w:rsidRPr="004F2B59">
        <w:rPr>
          <w:rFonts w:ascii="Times New Roman" w:hAnsi="Times New Roman" w:cs="Times New Roman"/>
          <w:lang w:val="en-US"/>
        </w:rPr>
        <w:t>heir limited physical, mental and emotional capacity</w:t>
      </w:r>
      <w:r w:rsidR="00F03004" w:rsidRPr="004F2B59">
        <w:rPr>
          <w:rFonts w:ascii="Times New Roman" w:hAnsi="Times New Roman" w:cs="Times New Roman"/>
          <w:lang w:val="en-US"/>
        </w:rPr>
        <w:t>.</w:t>
      </w:r>
      <w:r w:rsidR="005A1767">
        <w:rPr>
          <w:rFonts w:ascii="Times New Roman" w:hAnsi="Times New Roman" w:cs="Times New Roman"/>
          <w:lang w:val="en-US"/>
        </w:rPr>
        <w:t xml:space="preserve"> </w:t>
      </w:r>
      <w:r w:rsidR="000B30D4" w:rsidRPr="004F2B59">
        <w:rPr>
          <w:rFonts w:ascii="Times New Roman" w:hAnsi="Times New Roman" w:cs="Times New Roman"/>
          <w:lang w:val="en-US"/>
        </w:rPr>
        <w:t xml:space="preserve">According to the United Nations Convention on the Rights of the Child (UNCRC), a child is any human being who is below the age of </w:t>
      </w:r>
      <w:r w:rsidR="002876D1" w:rsidRPr="004F2B59">
        <w:rPr>
          <w:rFonts w:ascii="Times New Roman" w:hAnsi="Times New Roman" w:cs="Times New Roman"/>
          <w:lang w:val="en-US"/>
        </w:rPr>
        <w:t>eighteen</w:t>
      </w:r>
      <w:r w:rsidR="000B30D4" w:rsidRPr="004F2B59">
        <w:rPr>
          <w:rFonts w:ascii="Times New Roman" w:hAnsi="Times New Roman" w:cs="Times New Roman"/>
          <w:lang w:val="en-US"/>
        </w:rPr>
        <w:t xml:space="preserve"> years unless the domestic law sets the limit lower.</w:t>
      </w:r>
      <w:r w:rsidR="000B30D4" w:rsidRPr="004F2B59">
        <w:rPr>
          <w:rStyle w:val="FootnoteReference"/>
          <w:rFonts w:ascii="Times New Roman" w:hAnsi="Times New Roman" w:cs="Times New Roman"/>
          <w:lang w:val="en-US"/>
        </w:rPr>
        <w:footnoteReference w:id="8"/>
      </w:r>
      <w:r w:rsidR="00994830" w:rsidRPr="004F2B59">
        <w:rPr>
          <w:rFonts w:ascii="Times New Roman" w:hAnsi="Times New Roman" w:cs="Times New Roman"/>
          <w:lang w:val="en-US"/>
        </w:rPr>
        <w:t>To understand how consent of a child is treated in law, we must understand as to what it means, historically and in contemporary times and also as to how it varies amongst different societies.</w:t>
      </w:r>
      <w:r w:rsidR="00F541B9" w:rsidRPr="004F2B59">
        <w:rPr>
          <w:rFonts w:ascii="Times New Roman" w:hAnsi="Times New Roman" w:cs="Times New Roman"/>
          <w:lang w:val="en-US"/>
        </w:rPr>
        <w:t xml:space="preserve"> The </w:t>
      </w:r>
      <w:r w:rsidR="0082699F" w:rsidRPr="004F2B59">
        <w:rPr>
          <w:rFonts w:ascii="Times New Roman" w:hAnsi="Times New Roman" w:cs="Times New Roman"/>
          <w:lang w:val="en-US"/>
        </w:rPr>
        <w:t>meaning</w:t>
      </w:r>
      <w:r w:rsidR="0096603E">
        <w:rPr>
          <w:rFonts w:ascii="Times New Roman" w:hAnsi="Times New Roman" w:cs="Times New Roman"/>
          <w:lang w:val="en-US"/>
        </w:rPr>
        <w:t xml:space="preserve"> </w:t>
      </w:r>
      <w:r w:rsidR="00475861" w:rsidRPr="004F2B59">
        <w:rPr>
          <w:rFonts w:ascii="Times New Roman" w:hAnsi="Times New Roman" w:cs="Times New Roman"/>
          <w:lang w:val="en-US"/>
        </w:rPr>
        <w:t>of</w:t>
      </w:r>
      <w:r w:rsidR="00F541B9" w:rsidRPr="004F2B59">
        <w:rPr>
          <w:rFonts w:ascii="Times New Roman" w:hAnsi="Times New Roman" w:cs="Times New Roman"/>
          <w:lang w:val="en-US"/>
        </w:rPr>
        <w:t xml:space="preserve"> consent</w:t>
      </w:r>
      <w:r w:rsidR="0082699F" w:rsidRPr="004F2B59">
        <w:rPr>
          <w:rFonts w:ascii="Times New Roman" w:hAnsi="Times New Roman" w:cs="Times New Roman"/>
          <w:lang w:val="en-US"/>
        </w:rPr>
        <w:t xml:space="preserve"> is crucial in debates regarding </w:t>
      </w:r>
      <w:r w:rsidR="00475861" w:rsidRPr="004F2B59">
        <w:rPr>
          <w:rFonts w:ascii="Times New Roman" w:hAnsi="Times New Roman" w:cs="Times New Roman"/>
          <w:lang w:val="en-US"/>
        </w:rPr>
        <w:t>the age</w:t>
      </w:r>
      <w:r w:rsidR="0082699F" w:rsidRPr="004F2B59">
        <w:rPr>
          <w:rFonts w:ascii="Times New Roman" w:hAnsi="Times New Roman" w:cs="Times New Roman"/>
          <w:lang w:val="en-US"/>
        </w:rPr>
        <w:t xml:space="preserve"> of consent as there are numerous perspectives especially when we consider it in context of sexual behavior in minors.</w:t>
      </w:r>
    </w:p>
    <w:p w:rsidR="00600D52" w:rsidRPr="004F2B59" w:rsidRDefault="00475861"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The word consent means voluntary agreement of a person reached because of free will and agency.</w:t>
      </w:r>
      <w:r w:rsidRPr="004F2B59">
        <w:rPr>
          <w:rStyle w:val="FootnoteReference"/>
          <w:rFonts w:ascii="Times New Roman" w:hAnsi="Times New Roman" w:cs="Times New Roman"/>
          <w:lang w:val="en-US"/>
        </w:rPr>
        <w:footnoteReference w:id="9"/>
      </w:r>
      <w:r w:rsidR="00B85439" w:rsidRPr="004F2B59">
        <w:rPr>
          <w:rFonts w:ascii="Times New Roman" w:hAnsi="Times New Roman" w:cs="Times New Roman"/>
          <w:lang w:val="en-US"/>
        </w:rPr>
        <w:t xml:space="preserve"> In western societies, a person’s capacity to firstly possess </w:t>
      </w:r>
      <w:r w:rsidR="00B85439" w:rsidRPr="004F2B59">
        <w:rPr>
          <w:rFonts w:ascii="Times New Roman" w:hAnsi="Times New Roman" w:cs="Times New Roman"/>
          <w:i/>
          <w:iCs/>
          <w:lang w:val="en-US"/>
        </w:rPr>
        <w:t xml:space="preserve">free will </w:t>
      </w:r>
      <w:r w:rsidR="00B85439" w:rsidRPr="004F2B59">
        <w:rPr>
          <w:rFonts w:ascii="Times New Roman" w:hAnsi="Times New Roman" w:cs="Times New Roman"/>
          <w:lang w:val="en-US"/>
        </w:rPr>
        <w:t xml:space="preserve">and the ability to </w:t>
      </w:r>
      <w:r w:rsidR="00B85439" w:rsidRPr="004F2B59">
        <w:rPr>
          <w:rFonts w:ascii="Times New Roman" w:hAnsi="Times New Roman" w:cs="Times New Roman"/>
          <w:i/>
          <w:iCs/>
          <w:lang w:val="en-US"/>
        </w:rPr>
        <w:t xml:space="preserve">reason </w:t>
      </w:r>
      <w:r w:rsidR="00B85439" w:rsidRPr="004F2B59">
        <w:rPr>
          <w:rFonts w:ascii="Times New Roman" w:hAnsi="Times New Roman" w:cs="Times New Roman"/>
          <w:lang w:val="en-US"/>
        </w:rPr>
        <w:t>have been the parameters on which consent has been judged. Historically in these societies this right was the privilege of white men as they were the only ones believed to possess the power of reasoning. Other groups such as women</w:t>
      </w:r>
      <w:r w:rsidR="00D8257F" w:rsidRPr="004F2B59">
        <w:rPr>
          <w:rFonts w:ascii="Times New Roman" w:hAnsi="Times New Roman" w:cs="Times New Roman"/>
          <w:lang w:val="en-US"/>
        </w:rPr>
        <w:t>,</w:t>
      </w:r>
      <w:r w:rsidR="00B85439" w:rsidRPr="004F2B59">
        <w:rPr>
          <w:rFonts w:ascii="Times New Roman" w:hAnsi="Times New Roman" w:cs="Times New Roman"/>
          <w:lang w:val="en-US"/>
        </w:rPr>
        <w:t xml:space="preserve"> non-white people</w:t>
      </w:r>
      <w:r w:rsidR="00D8257F" w:rsidRPr="004F2B59">
        <w:rPr>
          <w:rFonts w:ascii="Times New Roman" w:hAnsi="Times New Roman" w:cs="Times New Roman"/>
          <w:lang w:val="en-US"/>
        </w:rPr>
        <w:t>, tribal people, children, persons with disabilities</w:t>
      </w:r>
      <w:r w:rsidR="00B85439" w:rsidRPr="004F2B59">
        <w:rPr>
          <w:rFonts w:ascii="Times New Roman" w:hAnsi="Times New Roman" w:cs="Times New Roman"/>
          <w:lang w:val="en-US"/>
        </w:rPr>
        <w:t xml:space="preserve"> were considered mentally deficient to possess this power</w:t>
      </w:r>
      <w:r w:rsidR="00D8257F" w:rsidRPr="004F2B59">
        <w:rPr>
          <w:rFonts w:ascii="Times New Roman" w:hAnsi="Times New Roman" w:cs="Times New Roman"/>
          <w:lang w:val="en-US"/>
        </w:rPr>
        <w:t xml:space="preserve"> as it believed that they were governed with their bodies rather than their </w:t>
      </w:r>
      <w:r w:rsidR="00D8257F" w:rsidRPr="004F2B59">
        <w:rPr>
          <w:rFonts w:ascii="Times New Roman" w:hAnsi="Times New Roman" w:cs="Times New Roman"/>
          <w:lang w:val="en-US"/>
        </w:rPr>
        <w:lastRenderedPageBreak/>
        <w:t>minds.</w:t>
      </w:r>
      <w:r w:rsidR="00D8257F" w:rsidRPr="004F2B59">
        <w:rPr>
          <w:rStyle w:val="FootnoteReference"/>
          <w:rFonts w:ascii="Times New Roman" w:hAnsi="Times New Roman" w:cs="Times New Roman"/>
          <w:lang w:val="en-US"/>
        </w:rPr>
        <w:footnoteReference w:id="10"/>
      </w:r>
      <w:r w:rsidR="00D8257F" w:rsidRPr="004F2B59">
        <w:rPr>
          <w:rFonts w:ascii="Times New Roman" w:hAnsi="Times New Roman" w:cs="Times New Roman"/>
          <w:lang w:val="en-US"/>
        </w:rPr>
        <w:t xml:space="preserve"> The white man had to act on their behalf, a belief that became entrenched across the world due to colonization.</w:t>
      </w:r>
      <w:r w:rsidR="00D8257F" w:rsidRPr="004F2B59">
        <w:rPr>
          <w:rStyle w:val="FootnoteReference"/>
          <w:rFonts w:ascii="Times New Roman" w:hAnsi="Times New Roman" w:cs="Times New Roman"/>
          <w:lang w:val="en-US"/>
        </w:rPr>
        <w:footnoteReference w:id="11"/>
      </w:r>
      <w:r w:rsidR="00D8257F" w:rsidRPr="004F2B59">
        <w:rPr>
          <w:rFonts w:ascii="Times New Roman" w:hAnsi="Times New Roman" w:cs="Times New Roman"/>
          <w:lang w:val="en-US"/>
        </w:rPr>
        <w:t xml:space="preserve"> It was only in the 20</w:t>
      </w:r>
      <w:r w:rsidR="00D8257F" w:rsidRPr="004F2B59">
        <w:rPr>
          <w:rFonts w:ascii="Times New Roman" w:hAnsi="Times New Roman" w:cs="Times New Roman"/>
          <w:vertAlign w:val="superscript"/>
          <w:lang w:val="en-US"/>
        </w:rPr>
        <w:t>th</w:t>
      </w:r>
      <w:r w:rsidR="00D8257F" w:rsidRPr="004F2B59">
        <w:rPr>
          <w:rFonts w:ascii="Times New Roman" w:hAnsi="Times New Roman" w:cs="Times New Roman"/>
          <w:lang w:val="en-US"/>
        </w:rPr>
        <w:t xml:space="preserve"> century that these groups attained</w:t>
      </w:r>
      <w:r w:rsidR="008F4A22" w:rsidRPr="004F2B59">
        <w:rPr>
          <w:rFonts w:ascii="Times New Roman" w:hAnsi="Times New Roman" w:cs="Times New Roman"/>
          <w:lang w:val="en-US"/>
        </w:rPr>
        <w:t xml:space="preserve"> limited</w:t>
      </w:r>
      <w:r w:rsidR="00D8257F" w:rsidRPr="004F2B59">
        <w:rPr>
          <w:rFonts w:ascii="Times New Roman" w:hAnsi="Times New Roman" w:cs="Times New Roman"/>
          <w:lang w:val="en-US"/>
        </w:rPr>
        <w:t xml:space="preserve"> cultural and political rights</w:t>
      </w:r>
      <w:r w:rsidR="008F4A22" w:rsidRPr="004F2B59">
        <w:rPr>
          <w:rFonts w:ascii="Times New Roman" w:hAnsi="Times New Roman" w:cs="Times New Roman"/>
          <w:lang w:val="en-US"/>
        </w:rPr>
        <w:t>, however, their rights are still sub-ordinate to the rights possessed by dominant social groups.</w:t>
      </w:r>
      <w:r w:rsidR="008F4A22" w:rsidRPr="004F2B59">
        <w:rPr>
          <w:rStyle w:val="FootnoteReference"/>
          <w:rFonts w:ascii="Times New Roman" w:hAnsi="Times New Roman" w:cs="Times New Roman"/>
          <w:lang w:val="en-US"/>
        </w:rPr>
        <w:footnoteReference w:id="12"/>
      </w:r>
      <w:r w:rsidR="00600D52" w:rsidRPr="004F2B59">
        <w:rPr>
          <w:rFonts w:ascii="Times New Roman" w:hAnsi="Times New Roman" w:cs="Times New Roman"/>
          <w:lang w:val="en-US"/>
        </w:rPr>
        <w:t>While these groups have got legal recognition to consent, there is a huge difference between being permitted by law to practice it and the actual practice to consent, especially when it comes to consensual sexual activity which differs in every society. For example, in India, the legal capacity of a woman to consent for sexual activity and its societal connotations are two very different things.</w:t>
      </w:r>
    </w:p>
    <w:p w:rsidR="00B85439" w:rsidRPr="004F2B59" w:rsidRDefault="00135412"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The first legal provision on the age of consent appeared in England in 1275 A.D. as part of a statute named Westminster 1. The statute made it illegal to </w:t>
      </w:r>
      <w:r w:rsidRPr="004F2B59">
        <w:rPr>
          <w:rFonts w:ascii="Times New Roman" w:hAnsi="Times New Roman" w:cs="Times New Roman"/>
          <w:i/>
          <w:iCs/>
          <w:lang w:val="en-US"/>
        </w:rPr>
        <w:t xml:space="preserve">ravish a maiden within age </w:t>
      </w:r>
      <w:r w:rsidRPr="004F2B59">
        <w:rPr>
          <w:rFonts w:ascii="Times New Roman" w:hAnsi="Times New Roman" w:cs="Times New Roman"/>
          <w:lang w:val="en-US"/>
        </w:rPr>
        <w:t>with or without her consent.</w:t>
      </w:r>
      <w:r w:rsidR="00455A17" w:rsidRPr="004F2B59">
        <w:rPr>
          <w:rFonts w:ascii="Times New Roman" w:hAnsi="Times New Roman" w:cs="Times New Roman"/>
          <w:lang w:val="en-US"/>
        </w:rPr>
        <w:t xml:space="preserve"> The term </w:t>
      </w:r>
      <w:r w:rsidR="00455A17" w:rsidRPr="004F2B59">
        <w:rPr>
          <w:rFonts w:ascii="Times New Roman" w:hAnsi="Times New Roman" w:cs="Times New Roman"/>
          <w:i/>
          <w:iCs/>
          <w:lang w:val="en-US"/>
        </w:rPr>
        <w:t xml:space="preserve">within age </w:t>
      </w:r>
      <w:r w:rsidR="00455A17" w:rsidRPr="004F2B59">
        <w:rPr>
          <w:rFonts w:ascii="Times New Roman" w:hAnsi="Times New Roman" w:cs="Times New Roman"/>
          <w:lang w:val="en-US"/>
        </w:rPr>
        <w:t xml:space="preserve">was interpreted to be </w:t>
      </w:r>
      <w:r w:rsidR="002876D1" w:rsidRPr="004F2B59">
        <w:rPr>
          <w:rFonts w:ascii="Times New Roman" w:hAnsi="Times New Roman" w:cs="Times New Roman"/>
          <w:lang w:val="en-US"/>
        </w:rPr>
        <w:t>twelve</w:t>
      </w:r>
      <w:r w:rsidR="00455A17" w:rsidRPr="004F2B59">
        <w:rPr>
          <w:rFonts w:ascii="Times New Roman" w:hAnsi="Times New Roman" w:cs="Times New Roman"/>
          <w:lang w:val="en-US"/>
        </w:rPr>
        <w:t xml:space="preserve"> years by Sir Edward Coke as that was the age of marriage at the time.</w:t>
      </w:r>
      <w:r w:rsidR="00455A17" w:rsidRPr="004F2B59">
        <w:rPr>
          <w:rStyle w:val="FootnoteReference"/>
          <w:rFonts w:ascii="Times New Roman" w:hAnsi="Times New Roman" w:cs="Times New Roman"/>
          <w:lang w:val="en-US"/>
        </w:rPr>
        <w:footnoteReference w:id="13"/>
      </w:r>
      <w:r w:rsidR="001D741F" w:rsidRPr="004F2B59">
        <w:rPr>
          <w:rFonts w:ascii="Times New Roman" w:hAnsi="Times New Roman" w:cs="Times New Roman"/>
          <w:lang w:val="en-US"/>
        </w:rPr>
        <w:t xml:space="preserve">In 1576, English colonies in North American made it a crime to </w:t>
      </w:r>
      <w:r w:rsidR="001D741F" w:rsidRPr="004F2B59">
        <w:rPr>
          <w:rFonts w:ascii="Times New Roman" w:hAnsi="Times New Roman" w:cs="Times New Roman"/>
          <w:i/>
          <w:iCs/>
          <w:lang w:val="en-US"/>
        </w:rPr>
        <w:t>“unlawfully or carnally know and abuse any woman child under the age of 10 years</w:t>
      </w:r>
      <w:r w:rsidR="001D741F" w:rsidRPr="004F2B59">
        <w:rPr>
          <w:rFonts w:ascii="Times New Roman" w:hAnsi="Times New Roman" w:cs="Times New Roman"/>
          <w:lang w:val="en-US"/>
        </w:rPr>
        <w:t>.</w:t>
      </w:r>
      <w:r w:rsidR="001D741F" w:rsidRPr="004F2B59">
        <w:rPr>
          <w:rFonts w:ascii="Times New Roman" w:hAnsi="Times New Roman" w:cs="Times New Roman"/>
          <w:i/>
          <w:iCs/>
          <w:lang w:val="en-US"/>
        </w:rPr>
        <w:t>”</w:t>
      </w:r>
      <w:r w:rsidR="001D741F" w:rsidRPr="004F2B59">
        <w:rPr>
          <w:rStyle w:val="FootnoteReference"/>
          <w:rFonts w:ascii="Times New Roman" w:hAnsi="Times New Roman" w:cs="Times New Roman"/>
          <w:lang w:val="en-US"/>
        </w:rPr>
        <w:footnoteReference w:id="14"/>
      </w:r>
      <w:r w:rsidR="00176E95" w:rsidRPr="004F2B59">
        <w:rPr>
          <w:rFonts w:ascii="Times New Roman" w:hAnsi="Times New Roman" w:cs="Times New Roman"/>
          <w:lang w:val="en-US"/>
        </w:rPr>
        <w:t>It was in the 16</w:t>
      </w:r>
      <w:r w:rsidR="00176E95" w:rsidRPr="004F2B59">
        <w:rPr>
          <w:rFonts w:ascii="Times New Roman" w:hAnsi="Times New Roman" w:cs="Times New Roman"/>
          <w:vertAlign w:val="superscript"/>
          <w:lang w:val="en-US"/>
        </w:rPr>
        <w:t>th</w:t>
      </w:r>
      <w:r w:rsidR="00176E95" w:rsidRPr="004F2B59">
        <w:rPr>
          <w:rFonts w:ascii="Times New Roman" w:hAnsi="Times New Roman" w:cs="Times New Roman"/>
          <w:lang w:val="en-US"/>
        </w:rPr>
        <w:t xml:space="preserve"> century Italian and German </w:t>
      </w:r>
      <w:r w:rsidR="005B48C3" w:rsidRPr="004F2B59">
        <w:rPr>
          <w:rFonts w:ascii="Times New Roman" w:hAnsi="Times New Roman" w:cs="Times New Roman"/>
          <w:lang w:val="en-US"/>
        </w:rPr>
        <w:t xml:space="preserve">states introduced </w:t>
      </w:r>
      <w:r w:rsidR="002876D1" w:rsidRPr="004F2B59">
        <w:rPr>
          <w:rFonts w:ascii="Times New Roman" w:hAnsi="Times New Roman" w:cs="Times New Roman"/>
          <w:lang w:val="en-US"/>
        </w:rPr>
        <w:t>twelve</w:t>
      </w:r>
      <w:r w:rsidR="005B48C3" w:rsidRPr="004F2B59">
        <w:rPr>
          <w:rFonts w:ascii="Times New Roman" w:hAnsi="Times New Roman" w:cs="Times New Roman"/>
          <w:lang w:val="en-US"/>
        </w:rPr>
        <w:t xml:space="preserve"> years as the age of consent.</w:t>
      </w:r>
      <w:r w:rsidR="005B48C3" w:rsidRPr="004F2B59">
        <w:rPr>
          <w:rStyle w:val="FootnoteReference"/>
          <w:rFonts w:ascii="Times New Roman" w:hAnsi="Times New Roman" w:cs="Times New Roman"/>
          <w:lang w:val="en-US"/>
        </w:rPr>
        <w:footnoteReference w:id="15"/>
      </w:r>
      <w:r w:rsidR="005D12CF" w:rsidRPr="004F2B59">
        <w:rPr>
          <w:rFonts w:ascii="Times New Roman" w:hAnsi="Times New Roman" w:cs="Times New Roman"/>
          <w:lang w:val="en-US"/>
        </w:rPr>
        <w:t xml:space="preserve"> It was the renaissance period around the 18</w:t>
      </w:r>
      <w:r w:rsidR="005D12CF" w:rsidRPr="004F2B59">
        <w:rPr>
          <w:rFonts w:ascii="Times New Roman" w:hAnsi="Times New Roman" w:cs="Times New Roman"/>
          <w:vertAlign w:val="superscript"/>
          <w:lang w:val="en-US"/>
        </w:rPr>
        <w:t>th</w:t>
      </w:r>
      <w:r w:rsidR="005D12CF" w:rsidRPr="004F2B59">
        <w:rPr>
          <w:rFonts w:ascii="Times New Roman" w:hAnsi="Times New Roman" w:cs="Times New Roman"/>
          <w:lang w:val="en-US"/>
        </w:rPr>
        <w:t xml:space="preserve"> century when other European nations also started to enact laws regarding the age of consent. It was around this time that the realization emerged that children were a distinct entity to adults and were more vulnerable to harm particularly around the age of puberty. Hence, in 1791, the Napoleonic Code in France established </w:t>
      </w:r>
      <w:r w:rsidR="002876D1" w:rsidRPr="004F2B59">
        <w:rPr>
          <w:rFonts w:ascii="Times New Roman" w:hAnsi="Times New Roman" w:cs="Times New Roman"/>
          <w:lang w:val="en-US"/>
        </w:rPr>
        <w:t>eleven</w:t>
      </w:r>
      <w:r w:rsidR="005D12CF" w:rsidRPr="004F2B59">
        <w:rPr>
          <w:rFonts w:ascii="Times New Roman" w:hAnsi="Times New Roman" w:cs="Times New Roman"/>
          <w:lang w:val="en-US"/>
        </w:rPr>
        <w:t xml:space="preserve"> years as the age of </w:t>
      </w:r>
      <w:r w:rsidR="005D12CF" w:rsidRPr="004F2B59">
        <w:rPr>
          <w:rFonts w:ascii="Times New Roman" w:hAnsi="Times New Roman" w:cs="Times New Roman"/>
          <w:lang w:val="en-US"/>
        </w:rPr>
        <w:lastRenderedPageBreak/>
        <w:t xml:space="preserve">consent for both the genders which was later increased to </w:t>
      </w:r>
      <w:r w:rsidR="002876D1" w:rsidRPr="004F2B59">
        <w:rPr>
          <w:rFonts w:ascii="Times New Roman" w:hAnsi="Times New Roman" w:cs="Times New Roman"/>
          <w:lang w:val="en-US"/>
        </w:rPr>
        <w:t>thirteen</w:t>
      </w:r>
      <w:r w:rsidR="005D12CF" w:rsidRPr="004F2B59">
        <w:rPr>
          <w:rFonts w:ascii="Times New Roman" w:hAnsi="Times New Roman" w:cs="Times New Roman"/>
          <w:lang w:val="en-US"/>
        </w:rPr>
        <w:t xml:space="preserve"> years in 1863.</w:t>
      </w:r>
      <w:r w:rsidR="005D12CF" w:rsidRPr="004F2B59">
        <w:rPr>
          <w:rStyle w:val="FootnoteReference"/>
          <w:rFonts w:ascii="Times New Roman" w:hAnsi="Times New Roman" w:cs="Times New Roman"/>
          <w:lang w:val="en-US"/>
        </w:rPr>
        <w:footnoteReference w:id="16"/>
      </w:r>
      <w:r w:rsidR="005D071C" w:rsidRPr="004F2B59">
        <w:rPr>
          <w:rFonts w:ascii="Times New Roman" w:hAnsi="Times New Roman" w:cs="Times New Roman"/>
          <w:lang w:val="en-US"/>
        </w:rPr>
        <w:t>A century later, o</w:t>
      </w:r>
      <w:r w:rsidR="001228FA" w:rsidRPr="004F2B59">
        <w:rPr>
          <w:rFonts w:ascii="Times New Roman" w:hAnsi="Times New Roman" w:cs="Times New Roman"/>
          <w:lang w:val="en-US"/>
        </w:rPr>
        <w:t xml:space="preserve">ther </w:t>
      </w:r>
      <w:r w:rsidR="005D071C" w:rsidRPr="004F2B59">
        <w:rPr>
          <w:rFonts w:ascii="Times New Roman" w:hAnsi="Times New Roman" w:cs="Times New Roman"/>
          <w:lang w:val="en-US"/>
        </w:rPr>
        <w:t xml:space="preserve">European </w:t>
      </w:r>
      <w:r w:rsidR="001228FA" w:rsidRPr="004F2B59">
        <w:rPr>
          <w:rFonts w:ascii="Times New Roman" w:hAnsi="Times New Roman" w:cs="Times New Roman"/>
          <w:lang w:val="en-US"/>
        </w:rPr>
        <w:t xml:space="preserve">nations </w:t>
      </w:r>
      <w:r w:rsidR="005D071C" w:rsidRPr="004F2B59">
        <w:rPr>
          <w:rFonts w:ascii="Times New Roman" w:hAnsi="Times New Roman" w:cs="Times New Roman"/>
          <w:lang w:val="en-US"/>
        </w:rPr>
        <w:t xml:space="preserve">like Spain, Portugal, Denmark and some Swiss provinces followed suit and introduced the age of consent laws that set the limit at </w:t>
      </w:r>
      <w:r w:rsidR="002876D1" w:rsidRPr="004F2B59">
        <w:rPr>
          <w:rFonts w:ascii="Times New Roman" w:hAnsi="Times New Roman" w:cs="Times New Roman"/>
          <w:lang w:val="en-US"/>
        </w:rPr>
        <w:t>thirteen</w:t>
      </w:r>
      <w:r w:rsidR="005D071C" w:rsidRPr="004F2B59">
        <w:rPr>
          <w:rFonts w:ascii="Times New Roman" w:hAnsi="Times New Roman" w:cs="Times New Roman"/>
          <w:lang w:val="en-US"/>
        </w:rPr>
        <w:t xml:space="preserve"> years. It is important to note that by this time, France had further increased the age of consent to </w:t>
      </w:r>
      <w:r w:rsidR="002876D1" w:rsidRPr="004F2B59">
        <w:rPr>
          <w:rFonts w:ascii="Times New Roman" w:hAnsi="Times New Roman" w:cs="Times New Roman"/>
          <w:lang w:val="en-US"/>
        </w:rPr>
        <w:t>sixteen</w:t>
      </w:r>
      <w:r w:rsidR="005D071C" w:rsidRPr="004F2B59">
        <w:rPr>
          <w:rFonts w:ascii="Times New Roman" w:hAnsi="Times New Roman" w:cs="Times New Roman"/>
          <w:lang w:val="en-US"/>
        </w:rPr>
        <w:t xml:space="preserve"> years.</w:t>
      </w:r>
      <w:r w:rsidR="005D071C" w:rsidRPr="004F2B59">
        <w:rPr>
          <w:rStyle w:val="FootnoteReference"/>
          <w:rFonts w:ascii="Times New Roman" w:hAnsi="Times New Roman" w:cs="Times New Roman"/>
          <w:lang w:val="en-US"/>
        </w:rPr>
        <w:footnoteReference w:id="17"/>
      </w:r>
      <w:r w:rsidR="00521E9D" w:rsidRPr="004F2B59">
        <w:rPr>
          <w:rFonts w:ascii="Times New Roman" w:hAnsi="Times New Roman" w:cs="Times New Roman"/>
          <w:lang w:val="en-US"/>
        </w:rPr>
        <w:t xml:space="preserve">It was in 1875 that in England, the act of sexual intercourse with a girl less than </w:t>
      </w:r>
      <w:r w:rsidR="002876D1" w:rsidRPr="004F2B59">
        <w:rPr>
          <w:rFonts w:ascii="Times New Roman" w:hAnsi="Times New Roman" w:cs="Times New Roman"/>
          <w:lang w:val="en-US"/>
        </w:rPr>
        <w:t>thirteen</w:t>
      </w:r>
      <w:r w:rsidR="00521E9D" w:rsidRPr="004F2B59">
        <w:rPr>
          <w:rFonts w:ascii="Times New Roman" w:hAnsi="Times New Roman" w:cs="Times New Roman"/>
          <w:lang w:val="en-US"/>
        </w:rPr>
        <w:t xml:space="preserve"> years old was made an offence. The United States of America (US), which had attained independence from England by then, due to its federal system, allowed each of its state to enact their own criminal laws. Consequently, the age of consent ranged from ages </w:t>
      </w:r>
      <w:r w:rsidR="002876D1" w:rsidRPr="004F2B59">
        <w:rPr>
          <w:rFonts w:ascii="Times New Roman" w:hAnsi="Times New Roman" w:cs="Times New Roman"/>
          <w:lang w:val="en-US"/>
        </w:rPr>
        <w:t>ten</w:t>
      </w:r>
      <w:r w:rsidR="00521E9D" w:rsidRPr="004F2B59">
        <w:rPr>
          <w:rFonts w:ascii="Times New Roman" w:hAnsi="Times New Roman" w:cs="Times New Roman"/>
          <w:lang w:val="en-US"/>
        </w:rPr>
        <w:t xml:space="preserve"> to </w:t>
      </w:r>
      <w:r w:rsidR="002876D1" w:rsidRPr="004F2B59">
        <w:rPr>
          <w:rFonts w:ascii="Times New Roman" w:hAnsi="Times New Roman" w:cs="Times New Roman"/>
          <w:lang w:val="en-US"/>
        </w:rPr>
        <w:t>twelve</w:t>
      </w:r>
      <w:r w:rsidR="00521E9D" w:rsidRPr="004F2B59">
        <w:rPr>
          <w:rFonts w:ascii="Times New Roman" w:hAnsi="Times New Roman" w:cs="Times New Roman"/>
          <w:lang w:val="en-US"/>
        </w:rPr>
        <w:t xml:space="preserve"> years depending upon each state.</w:t>
      </w:r>
      <w:r w:rsidR="00521E9D" w:rsidRPr="004F2B59">
        <w:rPr>
          <w:rStyle w:val="FootnoteReference"/>
          <w:rFonts w:ascii="Times New Roman" w:hAnsi="Times New Roman" w:cs="Times New Roman"/>
          <w:lang w:val="en-US"/>
        </w:rPr>
        <w:footnoteReference w:id="18"/>
      </w:r>
    </w:p>
    <w:p w:rsidR="00A57ADF" w:rsidRPr="004F2B59" w:rsidRDefault="00F61F55"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By the end of the 19</w:t>
      </w:r>
      <w:r w:rsidRPr="004F2B59">
        <w:rPr>
          <w:rFonts w:ascii="Times New Roman" w:hAnsi="Times New Roman" w:cs="Times New Roman"/>
          <w:vertAlign w:val="superscript"/>
          <w:lang w:val="en-US"/>
        </w:rPr>
        <w:t>th</w:t>
      </w:r>
      <w:r w:rsidRPr="004F2B59">
        <w:rPr>
          <w:rFonts w:ascii="Times New Roman" w:hAnsi="Times New Roman" w:cs="Times New Roman"/>
          <w:lang w:val="en-US"/>
        </w:rPr>
        <w:t xml:space="preserve"> century, reformers in Britain started to campaign for raising the age of consent due to prevalence of child prostitution in the society.</w:t>
      </w:r>
      <w:r w:rsidR="00E43A3E" w:rsidRPr="004F2B59">
        <w:rPr>
          <w:rFonts w:ascii="Times New Roman" w:hAnsi="Times New Roman" w:cs="Times New Roman"/>
          <w:lang w:val="en-US"/>
        </w:rPr>
        <w:t xml:space="preserve"> The primary focus of this campaign was the lack of psychological development of children at this age, rather than just physiological</w:t>
      </w:r>
      <w:r w:rsidRPr="004F2B59">
        <w:rPr>
          <w:rFonts w:ascii="Times New Roman" w:hAnsi="Times New Roman" w:cs="Times New Roman"/>
          <w:lang w:val="en-US"/>
        </w:rPr>
        <w:t>.</w:t>
      </w:r>
      <w:r w:rsidR="00777130">
        <w:rPr>
          <w:rFonts w:ascii="Times New Roman" w:hAnsi="Times New Roman" w:cs="Times New Roman"/>
          <w:lang w:val="en-US"/>
        </w:rPr>
        <w:t xml:space="preserve"> </w:t>
      </w:r>
      <w:r w:rsidRPr="004F2B59">
        <w:rPr>
          <w:rFonts w:ascii="Times New Roman" w:hAnsi="Times New Roman" w:cs="Times New Roman"/>
          <w:lang w:val="en-US"/>
        </w:rPr>
        <w:t xml:space="preserve">This led to British legislators raising the age of consent to </w:t>
      </w:r>
      <w:r w:rsidR="002876D1" w:rsidRPr="004F2B59">
        <w:rPr>
          <w:rFonts w:ascii="Times New Roman" w:hAnsi="Times New Roman" w:cs="Times New Roman"/>
          <w:lang w:val="en-US"/>
        </w:rPr>
        <w:t>sixteen</w:t>
      </w:r>
      <w:r w:rsidRPr="004F2B59">
        <w:rPr>
          <w:rFonts w:ascii="Times New Roman" w:hAnsi="Times New Roman" w:cs="Times New Roman"/>
          <w:lang w:val="en-US"/>
        </w:rPr>
        <w:t xml:space="preserve"> years </w:t>
      </w:r>
      <w:r w:rsidR="00E43A3E" w:rsidRPr="004F2B59">
        <w:rPr>
          <w:rFonts w:ascii="Times New Roman" w:hAnsi="Times New Roman" w:cs="Times New Roman"/>
          <w:lang w:val="en-US"/>
        </w:rPr>
        <w:t xml:space="preserve">which also prompted reformers in the other parts of the world such as the US. Many US states raised the age of consent to </w:t>
      </w:r>
      <w:r w:rsidR="002876D1" w:rsidRPr="004F2B59">
        <w:rPr>
          <w:rFonts w:ascii="Times New Roman" w:hAnsi="Times New Roman" w:cs="Times New Roman"/>
          <w:lang w:val="en-US"/>
        </w:rPr>
        <w:t>sixteen</w:t>
      </w:r>
      <w:r w:rsidR="00E43A3E" w:rsidRPr="004F2B59">
        <w:rPr>
          <w:rFonts w:ascii="Times New Roman" w:hAnsi="Times New Roman" w:cs="Times New Roman"/>
          <w:lang w:val="en-US"/>
        </w:rPr>
        <w:t xml:space="preserve"> years and some even raised the age as high as </w:t>
      </w:r>
      <w:r w:rsidR="002876D1" w:rsidRPr="004F2B59">
        <w:rPr>
          <w:rFonts w:ascii="Times New Roman" w:hAnsi="Times New Roman" w:cs="Times New Roman"/>
          <w:lang w:val="en-US"/>
        </w:rPr>
        <w:t>eighteen</w:t>
      </w:r>
      <w:r w:rsidR="00E43A3E" w:rsidRPr="004F2B59">
        <w:rPr>
          <w:rFonts w:ascii="Times New Roman" w:hAnsi="Times New Roman" w:cs="Times New Roman"/>
          <w:lang w:val="en-US"/>
        </w:rPr>
        <w:t xml:space="preserve"> years.</w:t>
      </w:r>
      <w:r w:rsidR="00E43A3E" w:rsidRPr="004F2B59">
        <w:rPr>
          <w:rStyle w:val="FootnoteReference"/>
          <w:rFonts w:ascii="Times New Roman" w:hAnsi="Times New Roman" w:cs="Times New Roman"/>
          <w:lang w:val="en-US"/>
        </w:rPr>
        <w:footnoteReference w:id="19"/>
      </w:r>
    </w:p>
    <w:p w:rsidR="00366F4B" w:rsidRPr="004F2B59" w:rsidRDefault="00366F4B" w:rsidP="004F2B59">
      <w:pPr>
        <w:pStyle w:val="ListParagraph"/>
        <w:spacing w:after="0" w:line="320" w:lineRule="exact"/>
        <w:ind w:left="0" w:firstLine="432"/>
        <w:contextualSpacing w:val="0"/>
        <w:jc w:val="both"/>
        <w:rPr>
          <w:rFonts w:ascii="Times New Roman" w:hAnsi="Times New Roman" w:cs="Times New Roman"/>
          <w:b/>
          <w:bCs/>
          <w:lang w:val="en-US"/>
        </w:rPr>
      </w:pPr>
    </w:p>
    <w:p w:rsidR="00366F4B" w:rsidRPr="004F2B59" w:rsidRDefault="00366F4B" w:rsidP="004F2B59">
      <w:pPr>
        <w:pStyle w:val="ListParagraph"/>
        <w:numPr>
          <w:ilvl w:val="0"/>
          <w:numId w:val="8"/>
        </w:numPr>
        <w:spacing w:after="0" w:line="320" w:lineRule="exact"/>
        <w:ind w:left="0" w:firstLine="432"/>
        <w:contextualSpacing w:val="0"/>
        <w:jc w:val="both"/>
        <w:rPr>
          <w:rFonts w:ascii="Times New Roman" w:hAnsi="Times New Roman" w:cs="Times New Roman"/>
          <w:b/>
          <w:bCs/>
          <w:lang w:val="en-US"/>
        </w:rPr>
      </w:pPr>
      <w:r w:rsidRPr="004F2B59">
        <w:rPr>
          <w:rFonts w:ascii="Times New Roman" w:hAnsi="Times New Roman" w:cs="Times New Roman"/>
          <w:b/>
          <w:bCs/>
          <w:lang w:val="en-US"/>
        </w:rPr>
        <w:t>Age of Consent in India</w:t>
      </w:r>
      <w:r w:rsidR="001E4F8C" w:rsidRPr="004F2B59">
        <w:rPr>
          <w:rFonts w:ascii="Times New Roman" w:hAnsi="Times New Roman" w:cs="Times New Roman"/>
          <w:b/>
          <w:bCs/>
          <w:lang w:val="en-US"/>
        </w:rPr>
        <w:t xml:space="preserve"> and Romantic Relationships between Adolescents</w:t>
      </w:r>
      <w:r w:rsidR="009710C3" w:rsidRPr="004F2B59">
        <w:rPr>
          <w:rFonts w:ascii="Times New Roman" w:hAnsi="Times New Roman" w:cs="Times New Roman"/>
          <w:b/>
          <w:bCs/>
          <w:lang w:val="en-US"/>
        </w:rPr>
        <w:t xml:space="preserve"> and Children</w:t>
      </w:r>
    </w:p>
    <w:p w:rsidR="00F22E63" w:rsidRPr="004F2B59" w:rsidRDefault="00E401BD"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The age of consent in India</w:t>
      </w:r>
      <w:r w:rsidR="00333491" w:rsidRPr="004F2B59">
        <w:rPr>
          <w:rFonts w:ascii="Times New Roman" w:hAnsi="Times New Roman" w:cs="Times New Roman"/>
          <w:lang w:val="en-US"/>
        </w:rPr>
        <w:t>, 18 years,</w:t>
      </w:r>
      <w:r w:rsidRPr="004F2B59">
        <w:rPr>
          <w:rFonts w:ascii="Times New Roman" w:hAnsi="Times New Roman" w:cs="Times New Roman"/>
          <w:lang w:val="en-US"/>
        </w:rPr>
        <w:t xml:space="preserve"> is presently governed by the POCSO Act, 2012.</w:t>
      </w:r>
      <w:r w:rsidR="00333491" w:rsidRPr="004F2B59">
        <w:rPr>
          <w:rFonts w:ascii="Times New Roman" w:hAnsi="Times New Roman" w:cs="Times New Roman"/>
          <w:lang w:val="en-US"/>
        </w:rPr>
        <w:t xml:space="preserve"> Prior to the enactment of this act, there was no statute or provision that clearly defined the age of consent. It was governed by Section 375 of the IPC that defined the offence of rape. However, due to the law on rape not being gender neutral, the age of consent for sexual intercourse was fixed only for females and not males. </w:t>
      </w:r>
      <w:r w:rsidR="00E2393D" w:rsidRPr="004F2B59">
        <w:rPr>
          <w:rFonts w:ascii="Times New Roman" w:hAnsi="Times New Roman" w:cs="Times New Roman"/>
          <w:lang w:val="en-US"/>
        </w:rPr>
        <w:t>In fact, t</w:t>
      </w:r>
      <w:r w:rsidR="00333491" w:rsidRPr="004F2B59">
        <w:rPr>
          <w:rFonts w:ascii="Times New Roman" w:hAnsi="Times New Roman" w:cs="Times New Roman"/>
          <w:lang w:val="en-US"/>
        </w:rPr>
        <w:t>he term child wasn’t defined in any statute, neither the IPC nor the General Clauses Act, 1897.</w:t>
      </w:r>
      <w:r w:rsidR="00E2393D" w:rsidRPr="004F2B59">
        <w:rPr>
          <w:rFonts w:ascii="Times New Roman" w:hAnsi="Times New Roman" w:cs="Times New Roman"/>
          <w:lang w:val="en-US"/>
        </w:rPr>
        <w:t xml:space="preserve">Moreover, the provision defining rape in </w:t>
      </w:r>
      <w:r w:rsidR="00E2393D" w:rsidRPr="004F2B59">
        <w:rPr>
          <w:rFonts w:ascii="Times New Roman" w:hAnsi="Times New Roman" w:cs="Times New Roman"/>
          <w:lang w:val="en-US"/>
        </w:rPr>
        <w:lastRenderedPageBreak/>
        <w:t xml:space="preserve">the IPC has a checkered past as the first age of consent (age for consensual sexual intercourse) was fixed at </w:t>
      </w:r>
      <w:r w:rsidR="002876D1" w:rsidRPr="004F2B59">
        <w:rPr>
          <w:rFonts w:ascii="Times New Roman" w:hAnsi="Times New Roman" w:cs="Times New Roman"/>
          <w:lang w:val="en-US"/>
        </w:rPr>
        <w:t>ten</w:t>
      </w:r>
      <w:r w:rsidR="00E2393D" w:rsidRPr="004F2B59">
        <w:rPr>
          <w:rFonts w:ascii="Times New Roman" w:hAnsi="Times New Roman" w:cs="Times New Roman"/>
          <w:lang w:val="en-US"/>
        </w:rPr>
        <w:t xml:space="preserve"> years in 1860.</w:t>
      </w:r>
      <w:r w:rsidR="00E2393D" w:rsidRPr="004F2B59">
        <w:rPr>
          <w:rStyle w:val="FootnoteReference"/>
          <w:rFonts w:ascii="Times New Roman" w:hAnsi="Times New Roman" w:cs="Times New Roman"/>
          <w:lang w:val="en-US"/>
        </w:rPr>
        <w:footnoteReference w:id="20"/>
      </w:r>
      <w:r w:rsidR="00377BC6" w:rsidRPr="004F2B59">
        <w:rPr>
          <w:rFonts w:ascii="Times New Roman" w:hAnsi="Times New Roman" w:cs="Times New Roman"/>
          <w:lang w:val="en-US"/>
        </w:rPr>
        <w:t xml:space="preserve"> It was raised </w:t>
      </w:r>
      <w:r w:rsidR="00D349A3" w:rsidRPr="004F2B59">
        <w:rPr>
          <w:rFonts w:ascii="Times New Roman" w:hAnsi="Times New Roman" w:cs="Times New Roman"/>
          <w:lang w:val="en-US"/>
        </w:rPr>
        <w:t xml:space="preserve">to </w:t>
      </w:r>
      <w:r w:rsidR="002876D1" w:rsidRPr="004F2B59">
        <w:rPr>
          <w:rFonts w:ascii="Times New Roman" w:hAnsi="Times New Roman" w:cs="Times New Roman"/>
          <w:lang w:val="en-US"/>
        </w:rPr>
        <w:t>twelve</w:t>
      </w:r>
      <w:r w:rsidR="00D349A3" w:rsidRPr="004F2B59">
        <w:rPr>
          <w:rFonts w:ascii="Times New Roman" w:hAnsi="Times New Roman" w:cs="Times New Roman"/>
          <w:lang w:val="en-US"/>
        </w:rPr>
        <w:t xml:space="preserve"> years in 1891 due to the public outcry caused the judgement in the </w:t>
      </w:r>
      <w:r w:rsidR="00D349A3" w:rsidRPr="004F2B59">
        <w:rPr>
          <w:rFonts w:ascii="Times New Roman" w:hAnsi="Times New Roman" w:cs="Times New Roman"/>
          <w:i/>
          <w:iCs/>
          <w:lang w:val="en-US"/>
        </w:rPr>
        <w:t>Phulmoni</w:t>
      </w:r>
      <w:r w:rsidR="00D349A3" w:rsidRPr="004F2B59">
        <w:rPr>
          <w:rFonts w:ascii="Times New Roman" w:hAnsi="Times New Roman" w:cs="Times New Roman"/>
          <w:lang w:val="en-US"/>
        </w:rPr>
        <w:t>case.</w:t>
      </w:r>
      <w:r w:rsidR="00D349A3" w:rsidRPr="004F2B59">
        <w:rPr>
          <w:rStyle w:val="FootnoteReference"/>
          <w:rFonts w:ascii="Times New Roman" w:hAnsi="Times New Roman" w:cs="Times New Roman"/>
          <w:lang w:val="en-US"/>
        </w:rPr>
        <w:footnoteReference w:id="21"/>
      </w:r>
      <w:r w:rsidR="00D349A3" w:rsidRPr="004F2B59">
        <w:rPr>
          <w:rFonts w:ascii="Times New Roman" w:hAnsi="Times New Roman" w:cs="Times New Roman"/>
          <w:lang w:val="en-US"/>
        </w:rPr>
        <w:t xml:space="preserve"> The case pertained to the death of an </w:t>
      </w:r>
      <w:r w:rsidR="00894E33" w:rsidRPr="004F2B59">
        <w:rPr>
          <w:rFonts w:ascii="Times New Roman" w:hAnsi="Times New Roman" w:cs="Times New Roman"/>
          <w:lang w:val="en-US"/>
        </w:rPr>
        <w:t>eleven-year-old</w:t>
      </w:r>
      <w:r w:rsidR="00D349A3" w:rsidRPr="004F2B59">
        <w:rPr>
          <w:rFonts w:ascii="Times New Roman" w:hAnsi="Times New Roman" w:cs="Times New Roman"/>
          <w:lang w:val="en-US"/>
        </w:rPr>
        <w:t xml:space="preserve"> girl</w:t>
      </w:r>
      <w:r w:rsidR="00406429" w:rsidRPr="004F2B59">
        <w:rPr>
          <w:rFonts w:ascii="Times New Roman" w:hAnsi="Times New Roman" w:cs="Times New Roman"/>
          <w:lang w:val="en-US"/>
        </w:rPr>
        <w:t>who died</w:t>
      </w:r>
      <w:r w:rsidR="00894E33" w:rsidRPr="004F2B59">
        <w:rPr>
          <w:rFonts w:ascii="Times New Roman" w:hAnsi="Times New Roman" w:cs="Times New Roman"/>
          <w:lang w:val="en-US"/>
        </w:rPr>
        <w:t xml:space="preserve"> from </w:t>
      </w:r>
      <w:r w:rsidR="00406429" w:rsidRPr="004F2B59">
        <w:rPr>
          <w:rFonts w:ascii="Times New Roman" w:hAnsi="Times New Roman" w:cs="Times New Roman"/>
          <w:lang w:val="en-US"/>
        </w:rPr>
        <w:t xml:space="preserve">the </w:t>
      </w:r>
      <w:r w:rsidR="00894E33" w:rsidRPr="004F2B59">
        <w:rPr>
          <w:rFonts w:ascii="Times New Roman" w:hAnsi="Times New Roman" w:cs="Times New Roman"/>
          <w:lang w:val="en-US"/>
        </w:rPr>
        <w:t xml:space="preserve">hemorrhage </w:t>
      </w:r>
      <w:r w:rsidR="00406429" w:rsidRPr="004F2B59">
        <w:rPr>
          <w:rFonts w:ascii="Times New Roman" w:hAnsi="Times New Roman" w:cs="Times New Roman"/>
          <w:lang w:val="en-US"/>
        </w:rPr>
        <w:t>caused froma</w:t>
      </w:r>
      <w:r w:rsidR="00894E33" w:rsidRPr="004F2B59">
        <w:rPr>
          <w:rFonts w:ascii="Times New Roman" w:hAnsi="Times New Roman" w:cs="Times New Roman"/>
          <w:lang w:val="en-US"/>
        </w:rPr>
        <w:t xml:space="preserve"> rupture of vagina</w:t>
      </w:r>
      <w:r w:rsidR="00406429" w:rsidRPr="004F2B59">
        <w:rPr>
          <w:rFonts w:ascii="Times New Roman" w:hAnsi="Times New Roman" w:cs="Times New Roman"/>
          <w:lang w:val="en-US"/>
        </w:rPr>
        <w:t xml:space="preserve"> by her husband who had forced sex on her.</w:t>
      </w:r>
      <w:r w:rsidR="00894E33" w:rsidRPr="004F2B59">
        <w:rPr>
          <w:rStyle w:val="FootnoteReference"/>
          <w:rFonts w:ascii="Times New Roman" w:hAnsi="Times New Roman" w:cs="Times New Roman"/>
          <w:lang w:val="en-US"/>
        </w:rPr>
        <w:footnoteReference w:id="22"/>
      </w:r>
      <w:r w:rsidR="00406429" w:rsidRPr="004F2B59">
        <w:rPr>
          <w:rFonts w:ascii="Times New Roman" w:hAnsi="Times New Roman" w:cs="Times New Roman"/>
          <w:lang w:val="en-US"/>
        </w:rPr>
        <w:t xml:space="preserve"> However, the husband was only convicted for the offence of causing grievous hurt and a sentence of rigorous imprisonment for one year.</w:t>
      </w:r>
      <w:r w:rsidR="00406429" w:rsidRPr="004F2B59">
        <w:rPr>
          <w:rStyle w:val="FootnoteReference"/>
          <w:rFonts w:ascii="Times New Roman" w:hAnsi="Times New Roman" w:cs="Times New Roman"/>
          <w:lang w:val="en-US"/>
        </w:rPr>
        <w:footnoteReference w:id="23"/>
      </w:r>
      <w:r w:rsidR="00F5769A" w:rsidRPr="004F2B59">
        <w:rPr>
          <w:rFonts w:ascii="Times New Roman" w:hAnsi="Times New Roman" w:cs="Times New Roman"/>
          <w:lang w:val="en-US"/>
        </w:rPr>
        <w:t xml:space="preserve"> Thereafter, in 1925, the age was raised</w:t>
      </w:r>
      <w:r w:rsidR="00F22E63" w:rsidRPr="004F2B59">
        <w:rPr>
          <w:rFonts w:ascii="Times New Roman" w:hAnsi="Times New Roman" w:cs="Times New Roman"/>
          <w:lang w:val="en-US"/>
        </w:rPr>
        <w:t xml:space="preserve"> to</w:t>
      </w:r>
      <w:r w:rsidR="002876D1" w:rsidRPr="004F2B59">
        <w:rPr>
          <w:rFonts w:ascii="Times New Roman" w:hAnsi="Times New Roman" w:cs="Times New Roman"/>
          <w:lang w:val="en-US"/>
        </w:rPr>
        <w:t>fourteen</w:t>
      </w:r>
      <w:r w:rsidR="00F22E63" w:rsidRPr="004F2B59">
        <w:rPr>
          <w:rFonts w:ascii="Times New Roman" w:hAnsi="Times New Roman" w:cs="Times New Roman"/>
          <w:lang w:val="en-US"/>
        </w:rPr>
        <w:t xml:space="preserve"> years</w:t>
      </w:r>
      <w:r w:rsidR="00F5769A" w:rsidRPr="004F2B59">
        <w:rPr>
          <w:rFonts w:ascii="Times New Roman" w:hAnsi="Times New Roman" w:cs="Times New Roman"/>
          <w:lang w:val="en-US"/>
        </w:rPr>
        <w:t xml:space="preserve"> and then</w:t>
      </w:r>
      <w:r w:rsidR="00F22E63" w:rsidRPr="004F2B59">
        <w:rPr>
          <w:rFonts w:ascii="Times New Roman" w:hAnsi="Times New Roman" w:cs="Times New Roman"/>
          <w:lang w:val="en-US"/>
        </w:rPr>
        <w:t xml:space="preserve"> to</w:t>
      </w:r>
      <w:r w:rsidR="002876D1" w:rsidRPr="004F2B59">
        <w:rPr>
          <w:rFonts w:ascii="Times New Roman" w:hAnsi="Times New Roman" w:cs="Times New Roman"/>
          <w:lang w:val="en-US"/>
        </w:rPr>
        <w:t>sixteen</w:t>
      </w:r>
      <w:r w:rsidR="00F22E63" w:rsidRPr="004F2B59">
        <w:rPr>
          <w:rFonts w:ascii="Times New Roman" w:hAnsi="Times New Roman" w:cs="Times New Roman"/>
          <w:lang w:val="en-US"/>
        </w:rPr>
        <w:t xml:space="preserve"> years</w:t>
      </w:r>
      <w:r w:rsidR="00F5769A" w:rsidRPr="004F2B59">
        <w:rPr>
          <w:rFonts w:ascii="Times New Roman" w:hAnsi="Times New Roman" w:cs="Times New Roman"/>
          <w:lang w:val="en-US"/>
        </w:rPr>
        <w:t xml:space="preserve"> in 1940.</w:t>
      </w:r>
      <w:r w:rsidR="00ED7966" w:rsidRPr="004F2B59">
        <w:rPr>
          <w:rStyle w:val="FootnoteReference"/>
          <w:rFonts w:ascii="Times New Roman" w:hAnsi="Times New Roman" w:cs="Times New Roman"/>
          <w:lang w:val="en-US"/>
        </w:rPr>
        <w:footnoteReference w:id="24"/>
      </w:r>
    </w:p>
    <w:p w:rsidR="00317FF1" w:rsidRPr="004F2B59" w:rsidRDefault="00076D2B"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The age for marriage, however,</w:t>
      </w:r>
      <w:r w:rsidR="000D679A" w:rsidRPr="004F2B59">
        <w:rPr>
          <w:rFonts w:ascii="Times New Roman" w:hAnsi="Times New Roman" w:cs="Times New Roman"/>
          <w:lang w:val="en-US"/>
        </w:rPr>
        <w:t xml:space="preserve"> was</w:t>
      </w:r>
      <w:r w:rsidRPr="004F2B59">
        <w:rPr>
          <w:rFonts w:ascii="Times New Roman" w:hAnsi="Times New Roman" w:cs="Times New Roman"/>
          <w:lang w:val="en-US"/>
        </w:rPr>
        <w:t xml:space="preserve"> fixed at</w:t>
      </w:r>
      <w:r w:rsidR="002876D1" w:rsidRPr="004F2B59">
        <w:rPr>
          <w:rFonts w:ascii="Times New Roman" w:hAnsi="Times New Roman" w:cs="Times New Roman"/>
          <w:lang w:val="en-US"/>
        </w:rPr>
        <w:t>eighteen</w:t>
      </w:r>
      <w:r w:rsidR="000D679A" w:rsidRPr="004F2B59">
        <w:rPr>
          <w:rFonts w:ascii="Times New Roman" w:hAnsi="Times New Roman" w:cs="Times New Roman"/>
          <w:lang w:val="en-US"/>
        </w:rPr>
        <w:t xml:space="preserve"> years for females and</w:t>
      </w:r>
      <w:r w:rsidRPr="004F2B59">
        <w:rPr>
          <w:rFonts w:ascii="Times New Roman" w:hAnsi="Times New Roman" w:cs="Times New Roman"/>
          <w:lang w:val="en-US"/>
        </w:rPr>
        <w:t xml:space="preserve"> at</w:t>
      </w:r>
      <w:r w:rsidR="002876D1" w:rsidRPr="004F2B59">
        <w:rPr>
          <w:rFonts w:ascii="Times New Roman" w:hAnsi="Times New Roman" w:cs="Times New Roman"/>
          <w:lang w:val="en-US"/>
        </w:rPr>
        <w:t>twenty-one</w:t>
      </w:r>
      <w:r w:rsidR="000D679A" w:rsidRPr="004F2B59">
        <w:rPr>
          <w:rFonts w:ascii="Times New Roman" w:hAnsi="Times New Roman" w:cs="Times New Roman"/>
          <w:lang w:val="en-US"/>
        </w:rPr>
        <w:t xml:space="preserve"> year</w:t>
      </w:r>
      <w:r w:rsidR="003D117E" w:rsidRPr="004F2B59">
        <w:rPr>
          <w:rFonts w:ascii="Times New Roman" w:hAnsi="Times New Roman" w:cs="Times New Roman"/>
          <w:lang w:val="en-US"/>
        </w:rPr>
        <w:t>s</w:t>
      </w:r>
      <w:r w:rsidR="000D679A" w:rsidRPr="004F2B59">
        <w:rPr>
          <w:rFonts w:ascii="Times New Roman" w:hAnsi="Times New Roman" w:cs="Times New Roman"/>
          <w:lang w:val="en-US"/>
        </w:rPr>
        <w:t xml:space="preserve"> for males</w:t>
      </w:r>
      <w:r w:rsidR="00F22E63" w:rsidRPr="004F2B59">
        <w:rPr>
          <w:rFonts w:ascii="Times New Roman" w:hAnsi="Times New Roman" w:cs="Times New Roman"/>
          <w:lang w:val="en-US"/>
        </w:rPr>
        <w:t xml:space="preserve"> in the Prohibition of Child Marriage Act, 2006 (PCMA). According to the</w:t>
      </w:r>
      <w:r w:rsidR="007E507D" w:rsidRPr="004F2B59">
        <w:rPr>
          <w:rFonts w:ascii="Times New Roman" w:hAnsi="Times New Roman" w:cs="Times New Roman"/>
          <w:lang w:val="en-US"/>
        </w:rPr>
        <w:t xml:space="preserve"> PCMA, any male below the age of </w:t>
      </w:r>
      <w:r w:rsidR="002876D1" w:rsidRPr="004F2B59">
        <w:rPr>
          <w:rFonts w:ascii="Times New Roman" w:hAnsi="Times New Roman" w:cs="Times New Roman"/>
          <w:lang w:val="en-US"/>
        </w:rPr>
        <w:t>twenty-one</w:t>
      </w:r>
      <w:r w:rsidR="007E507D" w:rsidRPr="004F2B59">
        <w:rPr>
          <w:rFonts w:ascii="Times New Roman" w:hAnsi="Times New Roman" w:cs="Times New Roman"/>
          <w:lang w:val="en-US"/>
        </w:rPr>
        <w:t xml:space="preserve"> years and any female below the age of </w:t>
      </w:r>
      <w:r w:rsidR="002876D1" w:rsidRPr="004F2B59">
        <w:rPr>
          <w:rFonts w:ascii="Times New Roman" w:hAnsi="Times New Roman" w:cs="Times New Roman"/>
          <w:lang w:val="en-US"/>
        </w:rPr>
        <w:t>eighteen</w:t>
      </w:r>
      <w:r w:rsidR="007E507D" w:rsidRPr="004F2B59">
        <w:rPr>
          <w:rFonts w:ascii="Times New Roman" w:hAnsi="Times New Roman" w:cs="Times New Roman"/>
          <w:lang w:val="en-US"/>
        </w:rPr>
        <w:t xml:space="preserve"> years are considered children</w:t>
      </w:r>
      <w:r w:rsidR="007E507D" w:rsidRPr="004F2B59">
        <w:rPr>
          <w:rStyle w:val="FootnoteReference"/>
          <w:rFonts w:ascii="Times New Roman" w:hAnsi="Times New Roman" w:cs="Times New Roman"/>
          <w:lang w:val="en-US"/>
        </w:rPr>
        <w:footnoteReference w:id="25"/>
      </w:r>
      <w:r w:rsidR="007E507D" w:rsidRPr="004F2B59">
        <w:rPr>
          <w:rFonts w:ascii="Times New Roman" w:hAnsi="Times New Roman" w:cs="Times New Roman"/>
          <w:lang w:val="en-US"/>
        </w:rPr>
        <w:t xml:space="preserve"> under the act and</w:t>
      </w:r>
      <w:r w:rsidR="00F57F86" w:rsidRPr="004F2B59">
        <w:rPr>
          <w:rFonts w:ascii="Times New Roman" w:hAnsi="Times New Roman" w:cs="Times New Roman"/>
          <w:lang w:val="en-US"/>
        </w:rPr>
        <w:t xml:space="preserve"> a marriage between </w:t>
      </w:r>
      <w:r w:rsidR="007E507D" w:rsidRPr="004F2B59">
        <w:rPr>
          <w:rFonts w:ascii="Times New Roman" w:hAnsi="Times New Roman" w:cs="Times New Roman"/>
          <w:lang w:val="en-US"/>
        </w:rPr>
        <w:t>such individuals</w:t>
      </w:r>
      <w:r w:rsidR="00F57F86" w:rsidRPr="004F2B59">
        <w:rPr>
          <w:rFonts w:ascii="Times New Roman" w:hAnsi="Times New Roman" w:cs="Times New Roman"/>
          <w:lang w:val="en-US"/>
        </w:rPr>
        <w:t xml:space="preserve"> is considered voidable at the option of either parties till two years of them attaining majority.</w:t>
      </w:r>
      <w:r w:rsidR="00F57F86" w:rsidRPr="004F2B59">
        <w:rPr>
          <w:rStyle w:val="FootnoteReference"/>
          <w:rFonts w:ascii="Times New Roman" w:hAnsi="Times New Roman" w:cs="Times New Roman"/>
          <w:lang w:val="en-US"/>
        </w:rPr>
        <w:footnoteReference w:id="26"/>
      </w:r>
      <w:r w:rsidR="00FF5741" w:rsidRPr="004F2B59">
        <w:rPr>
          <w:rFonts w:ascii="Times New Roman" w:hAnsi="Times New Roman" w:cs="Times New Roman"/>
          <w:lang w:val="en-US"/>
        </w:rPr>
        <w:t xml:space="preserve">Any male married before the age of </w:t>
      </w:r>
      <w:r w:rsidR="002876D1" w:rsidRPr="004F2B59">
        <w:rPr>
          <w:rFonts w:ascii="Times New Roman" w:hAnsi="Times New Roman" w:cs="Times New Roman"/>
          <w:lang w:val="en-US"/>
        </w:rPr>
        <w:t>twenty-one</w:t>
      </w:r>
      <w:r w:rsidR="00FF5741" w:rsidRPr="004F2B59">
        <w:rPr>
          <w:rFonts w:ascii="Times New Roman" w:hAnsi="Times New Roman" w:cs="Times New Roman"/>
          <w:lang w:val="en-US"/>
        </w:rPr>
        <w:t xml:space="preserve"> and a female married before the age of </w:t>
      </w:r>
      <w:r w:rsidR="002876D1" w:rsidRPr="004F2B59">
        <w:rPr>
          <w:rFonts w:ascii="Times New Roman" w:hAnsi="Times New Roman" w:cs="Times New Roman"/>
          <w:lang w:val="en-US"/>
        </w:rPr>
        <w:t>eighteen</w:t>
      </w:r>
      <w:r w:rsidR="00FF5741" w:rsidRPr="004F2B59">
        <w:rPr>
          <w:rFonts w:ascii="Times New Roman" w:hAnsi="Times New Roman" w:cs="Times New Roman"/>
          <w:lang w:val="en-US"/>
        </w:rPr>
        <w:t xml:space="preserve"> years can get the marriage declared void by filing a petition in the District Court, either after attaining the age of majority or up to two years after attaining it.</w:t>
      </w:r>
      <w:r w:rsidR="00FF5741" w:rsidRPr="004F2B59">
        <w:rPr>
          <w:rStyle w:val="FootnoteReference"/>
          <w:rFonts w:ascii="Times New Roman" w:hAnsi="Times New Roman" w:cs="Times New Roman"/>
          <w:lang w:val="en-US"/>
        </w:rPr>
        <w:footnoteReference w:id="27"/>
      </w:r>
      <w:r w:rsidR="00430813" w:rsidRPr="004F2B59">
        <w:rPr>
          <w:rFonts w:ascii="Times New Roman" w:hAnsi="Times New Roman" w:cs="Times New Roman"/>
          <w:lang w:val="en-US"/>
        </w:rPr>
        <w:t xml:space="preserve"> The PCMA also laid down criminal liability for anyone performed or affiliated a child marriage. It is however important to note that </w:t>
      </w:r>
      <w:r w:rsidR="005B0B27" w:rsidRPr="004F2B59">
        <w:rPr>
          <w:rFonts w:ascii="Times New Roman" w:hAnsi="Times New Roman" w:cs="Times New Roman"/>
          <w:lang w:val="en-US"/>
        </w:rPr>
        <w:t>the law</w:t>
      </w:r>
      <w:r w:rsidR="00430813" w:rsidRPr="004F2B59">
        <w:rPr>
          <w:rFonts w:ascii="Times New Roman" w:hAnsi="Times New Roman" w:cs="Times New Roman"/>
          <w:lang w:val="en-US"/>
        </w:rPr>
        <w:t xml:space="preserve"> did not make child marriages invalid </w:t>
      </w:r>
      <w:r w:rsidR="00430813" w:rsidRPr="004F2B59">
        <w:rPr>
          <w:rFonts w:ascii="Times New Roman" w:hAnsi="Times New Roman" w:cs="Times New Roman"/>
          <w:i/>
          <w:iCs/>
          <w:lang w:val="en-US"/>
        </w:rPr>
        <w:t xml:space="preserve">per se. </w:t>
      </w:r>
      <w:r w:rsidR="00430813" w:rsidRPr="004F2B59">
        <w:rPr>
          <w:rFonts w:ascii="Times New Roman" w:hAnsi="Times New Roman" w:cs="Times New Roman"/>
          <w:lang w:val="en-US"/>
        </w:rPr>
        <w:t xml:space="preserve">They were only voidable at the behest of the parties involved in such a marriage. Only the state of Karnataka, through an amendment in 2016 made child marriages under the PCMA </w:t>
      </w:r>
      <w:r w:rsidR="00430813" w:rsidRPr="004F2B59">
        <w:rPr>
          <w:rFonts w:ascii="Times New Roman" w:hAnsi="Times New Roman" w:cs="Times New Roman"/>
          <w:i/>
          <w:iCs/>
          <w:lang w:val="en-US"/>
        </w:rPr>
        <w:t>void ab initio</w:t>
      </w:r>
      <w:r w:rsidR="00430813" w:rsidRPr="004F2B59">
        <w:rPr>
          <w:rFonts w:ascii="Times New Roman" w:hAnsi="Times New Roman" w:cs="Times New Roman"/>
          <w:lang w:val="en-US"/>
        </w:rPr>
        <w:t xml:space="preserve"> i.e. invalid in law.</w:t>
      </w:r>
      <w:r w:rsidR="00430813" w:rsidRPr="004F2B59">
        <w:rPr>
          <w:rStyle w:val="FootnoteReference"/>
          <w:rFonts w:ascii="Times New Roman" w:hAnsi="Times New Roman" w:cs="Times New Roman"/>
          <w:lang w:val="en-US"/>
        </w:rPr>
        <w:footnoteReference w:id="28"/>
      </w:r>
      <w:r w:rsidR="00515AC0" w:rsidRPr="004F2B59">
        <w:rPr>
          <w:rFonts w:ascii="Times New Roman" w:hAnsi="Times New Roman" w:cs="Times New Roman"/>
          <w:lang w:val="en-US"/>
        </w:rPr>
        <w:t xml:space="preserve"> Further, this legislation </w:t>
      </w:r>
      <w:r w:rsidR="00515AC0" w:rsidRPr="004F2B59">
        <w:rPr>
          <w:rFonts w:ascii="Times New Roman" w:hAnsi="Times New Roman" w:cs="Times New Roman"/>
          <w:lang w:val="en-US"/>
        </w:rPr>
        <w:lastRenderedPageBreak/>
        <w:t xml:space="preserve">conflicted with personal laws such as the Muslim personal law which provides that a female can married either at the age of </w:t>
      </w:r>
      <w:r w:rsidR="002876D1" w:rsidRPr="004F2B59">
        <w:rPr>
          <w:rFonts w:ascii="Times New Roman" w:hAnsi="Times New Roman" w:cs="Times New Roman"/>
          <w:lang w:val="en-US"/>
        </w:rPr>
        <w:t>fifteen</w:t>
      </w:r>
      <w:r w:rsidR="00515AC0" w:rsidRPr="004F2B59">
        <w:rPr>
          <w:rFonts w:ascii="Times New Roman" w:hAnsi="Times New Roman" w:cs="Times New Roman"/>
          <w:lang w:val="en-US"/>
        </w:rPr>
        <w:t xml:space="preserve"> or after attaining the age of puberty, whichever is lower.</w:t>
      </w:r>
      <w:r w:rsidR="00515AC0" w:rsidRPr="004F2B59">
        <w:rPr>
          <w:rStyle w:val="FootnoteReference"/>
          <w:rFonts w:ascii="Times New Roman" w:hAnsi="Times New Roman" w:cs="Times New Roman"/>
          <w:lang w:val="en-US"/>
        </w:rPr>
        <w:footnoteReference w:id="29"/>
      </w:r>
    </w:p>
    <w:p w:rsidR="000C3A3D" w:rsidRPr="004F2B59" w:rsidRDefault="00ED7966"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It was the enactment of the POCSO Act in 2012 which raised the age of consent to 18 years. It is notable that prior to the POCSO Act, the age of consent was applicable only to females and not males.</w:t>
      </w:r>
      <w:r w:rsidR="00FE1997" w:rsidRPr="004F2B59">
        <w:rPr>
          <w:rFonts w:ascii="Times New Roman" w:hAnsi="Times New Roman" w:cs="Times New Roman"/>
          <w:lang w:val="en-US"/>
        </w:rPr>
        <w:t xml:space="preserve"> However, the POCSO uses the word </w:t>
      </w:r>
      <w:r w:rsidR="00FE1997" w:rsidRPr="004F2B59">
        <w:rPr>
          <w:rFonts w:ascii="Times New Roman" w:hAnsi="Times New Roman" w:cs="Times New Roman"/>
          <w:i/>
          <w:iCs/>
          <w:lang w:val="en-US"/>
        </w:rPr>
        <w:t xml:space="preserve">child </w:t>
      </w:r>
      <w:r w:rsidR="00FE1997" w:rsidRPr="004F2B59">
        <w:rPr>
          <w:rFonts w:ascii="Times New Roman" w:hAnsi="Times New Roman" w:cs="Times New Roman"/>
          <w:lang w:val="en-US"/>
        </w:rPr>
        <w:t>without mentioning the gender and defines it as ‘</w:t>
      </w:r>
      <w:r w:rsidR="00FE1997" w:rsidRPr="004F2B59">
        <w:rPr>
          <w:rFonts w:ascii="Times New Roman" w:hAnsi="Times New Roman" w:cs="Times New Roman"/>
          <w:i/>
          <w:iCs/>
          <w:lang w:val="en-US"/>
        </w:rPr>
        <w:t>any person below the age of 18 years</w:t>
      </w:r>
      <w:r w:rsidR="00FE1997" w:rsidRPr="004F2B59">
        <w:rPr>
          <w:rFonts w:ascii="Times New Roman" w:hAnsi="Times New Roman" w:cs="Times New Roman"/>
          <w:lang w:val="en-US"/>
        </w:rPr>
        <w:t>.’</w:t>
      </w:r>
      <w:r w:rsidR="00FE1997" w:rsidRPr="004F2B59">
        <w:rPr>
          <w:rStyle w:val="FootnoteReference"/>
          <w:rFonts w:ascii="Times New Roman" w:hAnsi="Times New Roman" w:cs="Times New Roman"/>
          <w:lang w:val="en-US"/>
        </w:rPr>
        <w:footnoteReference w:id="30"/>
      </w:r>
      <w:r w:rsidR="00FE1997" w:rsidRPr="004F2B59">
        <w:rPr>
          <w:rFonts w:ascii="Times New Roman" w:hAnsi="Times New Roman" w:cs="Times New Roman"/>
          <w:lang w:val="en-US"/>
        </w:rPr>
        <w:t xml:space="preserve"> It defined sexual offences against children in </w:t>
      </w:r>
      <w:r w:rsidR="00FE758F" w:rsidRPr="004F2B59">
        <w:rPr>
          <w:rFonts w:ascii="Times New Roman" w:hAnsi="Times New Roman" w:cs="Times New Roman"/>
          <w:lang w:val="en-US"/>
        </w:rPr>
        <w:t>six</w:t>
      </w:r>
      <w:r w:rsidR="00FE1997" w:rsidRPr="004F2B59">
        <w:rPr>
          <w:rFonts w:ascii="Times New Roman" w:hAnsi="Times New Roman" w:cs="Times New Roman"/>
          <w:lang w:val="en-US"/>
        </w:rPr>
        <w:t xml:space="preserve"> broad categories, namely, </w:t>
      </w:r>
      <w:r w:rsidR="00FE1997" w:rsidRPr="004F2B59">
        <w:rPr>
          <w:rFonts w:ascii="Times New Roman" w:hAnsi="Times New Roman" w:cs="Times New Roman"/>
          <w:i/>
          <w:iCs/>
          <w:lang w:val="en-US"/>
        </w:rPr>
        <w:t>penetrative sexual assault,</w:t>
      </w:r>
      <w:r w:rsidR="00FE1997" w:rsidRPr="004F2B59">
        <w:rPr>
          <w:rStyle w:val="FootnoteReference"/>
          <w:rFonts w:ascii="Times New Roman" w:hAnsi="Times New Roman" w:cs="Times New Roman"/>
          <w:i/>
          <w:iCs/>
          <w:lang w:val="en-US"/>
        </w:rPr>
        <w:footnoteReference w:id="31"/>
      </w:r>
      <w:r w:rsidR="00FE1997" w:rsidRPr="004F2B59">
        <w:rPr>
          <w:rFonts w:ascii="Times New Roman" w:hAnsi="Times New Roman" w:cs="Times New Roman"/>
          <w:i/>
          <w:iCs/>
          <w:lang w:val="en-US"/>
        </w:rPr>
        <w:t xml:space="preserve"> aggravated penetrative sexual assault,</w:t>
      </w:r>
      <w:r w:rsidR="00FE1997" w:rsidRPr="004F2B59">
        <w:rPr>
          <w:rStyle w:val="FootnoteReference"/>
          <w:rFonts w:ascii="Times New Roman" w:hAnsi="Times New Roman" w:cs="Times New Roman"/>
          <w:lang w:val="en-US"/>
        </w:rPr>
        <w:footnoteReference w:id="32"/>
      </w:r>
      <w:r w:rsidR="00FE1997" w:rsidRPr="004F2B59">
        <w:rPr>
          <w:rFonts w:ascii="Times New Roman" w:hAnsi="Times New Roman" w:cs="Times New Roman"/>
          <w:i/>
          <w:iCs/>
          <w:lang w:val="en-US"/>
        </w:rPr>
        <w:t>sexual assault,</w:t>
      </w:r>
      <w:r w:rsidR="00FE1997" w:rsidRPr="004F2B59">
        <w:rPr>
          <w:rStyle w:val="FootnoteReference"/>
          <w:rFonts w:ascii="Times New Roman" w:hAnsi="Times New Roman" w:cs="Times New Roman"/>
          <w:lang w:val="en-US"/>
        </w:rPr>
        <w:footnoteReference w:id="33"/>
      </w:r>
      <w:r w:rsidR="00FE1997" w:rsidRPr="004F2B59">
        <w:rPr>
          <w:rFonts w:ascii="Times New Roman" w:hAnsi="Times New Roman" w:cs="Times New Roman"/>
          <w:i/>
          <w:iCs/>
          <w:lang w:val="en-US"/>
        </w:rPr>
        <w:t>aggravated sexual assault</w:t>
      </w:r>
      <w:r w:rsidR="00FE758F" w:rsidRPr="004F2B59">
        <w:rPr>
          <w:rFonts w:ascii="Times New Roman" w:hAnsi="Times New Roman" w:cs="Times New Roman"/>
          <w:i/>
          <w:iCs/>
          <w:lang w:val="en-US"/>
        </w:rPr>
        <w:t>,</w:t>
      </w:r>
      <w:r w:rsidR="00FE1997" w:rsidRPr="004F2B59">
        <w:rPr>
          <w:rStyle w:val="FootnoteReference"/>
          <w:rFonts w:ascii="Times New Roman" w:hAnsi="Times New Roman" w:cs="Times New Roman"/>
          <w:lang w:val="en-US"/>
        </w:rPr>
        <w:footnoteReference w:id="34"/>
      </w:r>
      <w:r w:rsidR="00FE758F" w:rsidRPr="004F2B59">
        <w:rPr>
          <w:rFonts w:ascii="Times New Roman" w:hAnsi="Times New Roman" w:cs="Times New Roman"/>
          <w:i/>
          <w:iCs/>
          <w:lang w:val="en-US"/>
        </w:rPr>
        <w:t>sexual harassment</w:t>
      </w:r>
      <w:r w:rsidR="00FE758F" w:rsidRPr="004F2B59">
        <w:rPr>
          <w:rStyle w:val="FootnoteReference"/>
          <w:rFonts w:ascii="Times New Roman" w:hAnsi="Times New Roman" w:cs="Times New Roman"/>
          <w:lang w:val="en-US"/>
        </w:rPr>
        <w:footnoteReference w:id="35"/>
      </w:r>
      <w:r w:rsidR="00FE758F" w:rsidRPr="004F2B59">
        <w:rPr>
          <w:rFonts w:ascii="Times New Roman" w:hAnsi="Times New Roman" w:cs="Times New Roman"/>
          <w:i/>
          <w:iCs/>
          <w:lang w:val="en-US"/>
        </w:rPr>
        <w:t xml:space="preserve"> and using child for pornographic purposes.</w:t>
      </w:r>
      <w:r w:rsidR="00FE758F" w:rsidRPr="004F2B59">
        <w:rPr>
          <w:rStyle w:val="FootnoteReference"/>
          <w:rFonts w:ascii="Times New Roman" w:hAnsi="Times New Roman" w:cs="Times New Roman"/>
          <w:lang w:val="en-US"/>
        </w:rPr>
        <w:footnoteReference w:id="36"/>
      </w:r>
      <w:r w:rsidR="009632D0" w:rsidRPr="004F2B59">
        <w:rPr>
          <w:rFonts w:ascii="Times New Roman" w:hAnsi="Times New Roman" w:cs="Times New Roman"/>
          <w:lang w:val="en-US"/>
        </w:rPr>
        <w:t xml:space="preserve">The word </w:t>
      </w:r>
      <w:r w:rsidR="009632D0" w:rsidRPr="004F2B59">
        <w:rPr>
          <w:rFonts w:ascii="Times New Roman" w:hAnsi="Times New Roman" w:cs="Times New Roman"/>
          <w:i/>
          <w:iCs/>
          <w:lang w:val="en-US"/>
        </w:rPr>
        <w:t xml:space="preserve">penetrative </w:t>
      </w:r>
      <w:r w:rsidR="009632D0" w:rsidRPr="004F2B59">
        <w:rPr>
          <w:rFonts w:ascii="Times New Roman" w:hAnsi="Times New Roman" w:cs="Times New Roman"/>
          <w:lang w:val="en-US"/>
        </w:rPr>
        <w:t>includes not only vaginal penetration but also oral, anal and penetration through urethra</w:t>
      </w:r>
      <w:r w:rsidR="009632D0" w:rsidRPr="004F2B59">
        <w:rPr>
          <w:rFonts w:ascii="Times New Roman" w:hAnsi="Times New Roman" w:cs="Times New Roman"/>
          <w:i/>
          <w:iCs/>
          <w:lang w:val="en-US"/>
        </w:rPr>
        <w:t>.</w:t>
      </w:r>
      <w:r w:rsidR="009632D0" w:rsidRPr="004F2B59">
        <w:rPr>
          <w:rStyle w:val="FootnoteReference"/>
          <w:rFonts w:ascii="Times New Roman" w:hAnsi="Times New Roman" w:cs="Times New Roman"/>
          <w:lang w:val="en-US"/>
        </w:rPr>
        <w:footnoteReference w:id="37"/>
      </w:r>
      <w:r w:rsidR="009632D0" w:rsidRPr="004F2B59">
        <w:rPr>
          <w:rFonts w:ascii="Times New Roman" w:hAnsi="Times New Roman" w:cs="Times New Roman"/>
          <w:lang w:val="en-US"/>
        </w:rPr>
        <w:t>It is broad enough to include insertion of any body part or any object into the body of the child</w:t>
      </w:r>
      <w:r w:rsidR="009523A2" w:rsidRPr="004F2B59">
        <w:rPr>
          <w:rFonts w:ascii="Times New Roman" w:hAnsi="Times New Roman" w:cs="Times New Roman"/>
          <w:lang w:val="en-US"/>
        </w:rPr>
        <w:t xml:space="preserve">. The penetration need not be only penile but can also be oral to be included under </w:t>
      </w:r>
      <w:r w:rsidR="009523A2" w:rsidRPr="004F2B59">
        <w:rPr>
          <w:rFonts w:ascii="Times New Roman" w:hAnsi="Times New Roman" w:cs="Times New Roman"/>
          <w:i/>
          <w:iCs/>
          <w:lang w:val="en-US"/>
        </w:rPr>
        <w:t>penetrative sexual assault</w:t>
      </w:r>
      <w:r w:rsidR="009523A2" w:rsidRPr="004F2B59">
        <w:rPr>
          <w:rFonts w:ascii="Times New Roman" w:hAnsi="Times New Roman" w:cs="Times New Roman"/>
          <w:lang w:val="en-US"/>
        </w:rPr>
        <w:t>.</w:t>
      </w:r>
      <w:r w:rsidR="009523A2" w:rsidRPr="004F2B59">
        <w:rPr>
          <w:rStyle w:val="FootnoteReference"/>
          <w:rFonts w:ascii="Times New Roman" w:hAnsi="Times New Roman" w:cs="Times New Roman"/>
          <w:lang w:val="en-US"/>
        </w:rPr>
        <w:footnoteReference w:id="38"/>
      </w:r>
      <w:r w:rsidR="009632D0" w:rsidRPr="004F2B59">
        <w:rPr>
          <w:rFonts w:ascii="Times New Roman" w:hAnsi="Times New Roman" w:cs="Times New Roman"/>
          <w:lang w:val="en-US"/>
        </w:rPr>
        <w:t xml:space="preserve">The punishment ranges from minimum </w:t>
      </w:r>
      <w:r w:rsidR="00BB4F1A" w:rsidRPr="004F2B59">
        <w:rPr>
          <w:rFonts w:ascii="Times New Roman" w:hAnsi="Times New Roman" w:cs="Times New Roman"/>
          <w:lang w:val="en-US"/>
        </w:rPr>
        <w:t>three</w:t>
      </w:r>
      <w:r w:rsidR="009523A2" w:rsidRPr="004F2B59">
        <w:rPr>
          <w:rFonts w:ascii="Times New Roman" w:hAnsi="Times New Roman" w:cs="Times New Roman"/>
          <w:lang w:val="en-US"/>
        </w:rPr>
        <w:t>years imprisonment</w:t>
      </w:r>
      <w:r w:rsidR="009632D0" w:rsidRPr="004F2B59">
        <w:rPr>
          <w:rFonts w:ascii="Times New Roman" w:hAnsi="Times New Roman" w:cs="Times New Roman"/>
          <w:lang w:val="en-US"/>
        </w:rPr>
        <w:t xml:space="preserve"> along with a fine</w:t>
      </w:r>
      <w:r w:rsidR="009523A2" w:rsidRPr="004F2B59">
        <w:rPr>
          <w:rFonts w:ascii="Times New Roman" w:hAnsi="Times New Roman" w:cs="Times New Roman"/>
          <w:lang w:val="en-US"/>
        </w:rPr>
        <w:t xml:space="preserve"> (for sexual harassment and using for pornographic activity)</w:t>
      </w:r>
      <w:r w:rsidR="009632D0" w:rsidRPr="004F2B59">
        <w:rPr>
          <w:rFonts w:ascii="Times New Roman" w:hAnsi="Times New Roman" w:cs="Times New Roman"/>
          <w:lang w:val="en-US"/>
        </w:rPr>
        <w:t xml:space="preserve"> to death penalty</w:t>
      </w:r>
      <w:r w:rsidR="009523A2" w:rsidRPr="004F2B59">
        <w:rPr>
          <w:rFonts w:ascii="Times New Roman" w:hAnsi="Times New Roman" w:cs="Times New Roman"/>
          <w:lang w:val="en-US"/>
        </w:rPr>
        <w:t xml:space="preserve"> (for aggravated sexual assault).</w:t>
      </w:r>
    </w:p>
    <w:p w:rsidR="00EC44C4" w:rsidRPr="004F2B59" w:rsidRDefault="00FE758F"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It also </w:t>
      </w:r>
      <w:r w:rsidR="009523A2" w:rsidRPr="004F2B59">
        <w:rPr>
          <w:rFonts w:ascii="Times New Roman" w:hAnsi="Times New Roman" w:cs="Times New Roman"/>
          <w:lang w:val="en-US"/>
        </w:rPr>
        <w:t>laid down the provision for the setting up of</w:t>
      </w:r>
      <w:r w:rsidRPr="004F2B59">
        <w:rPr>
          <w:rFonts w:ascii="Times New Roman" w:hAnsi="Times New Roman" w:cs="Times New Roman"/>
          <w:lang w:val="en-US"/>
        </w:rPr>
        <w:t xml:space="preserve"> Special Courts for providing a speedy trial for cases registered under the Act.</w:t>
      </w:r>
      <w:r w:rsidR="009523A2" w:rsidRPr="004F2B59">
        <w:rPr>
          <w:rFonts w:ascii="Times New Roman" w:hAnsi="Times New Roman" w:cs="Times New Roman"/>
          <w:lang w:val="en-US"/>
        </w:rPr>
        <w:t xml:space="preserve"> Due to maintenance of law and order being a state (provincial) subject, the </w:t>
      </w:r>
      <w:r w:rsidR="009523A2" w:rsidRPr="004F2B59">
        <w:rPr>
          <w:rFonts w:ascii="Times New Roman" w:hAnsi="Times New Roman" w:cs="Times New Roman"/>
          <w:lang w:val="en-US"/>
        </w:rPr>
        <w:lastRenderedPageBreak/>
        <w:t>Special Courts are set up in each district by the State (provincial) government in consultation with the High Court of the state.</w:t>
      </w:r>
      <w:r w:rsidR="009523A2" w:rsidRPr="004F2B59">
        <w:rPr>
          <w:rStyle w:val="FootnoteReference"/>
          <w:rFonts w:ascii="Times New Roman" w:hAnsi="Times New Roman" w:cs="Times New Roman"/>
          <w:lang w:val="en-US"/>
        </w:rPr>
        <w:footnoteReference w:id="39"/>
      </w:r>
      <w:r w:rsidR="00BA30E9" w:rsidRPr="004F2B59">
        <w:rPr>
          <w:rFonts w:ascii="Times New Roman" w:hAnsi="Times New Roman" w:cs="Times New Roman"/>
          <w:lang w:val="en-US"/>
        </w:rPr>
        <w:t xml:space="preserve"> Further, it also provides for the appointment of a Special Public Prosecutor for conducting cases under the Act.</w:t>
      </w:r>
      <w:r w:rsidR="00BA30E9" w:rsidRPr="004F2B59">
        <w:rPr>
          <w:rStyle w:val="FootnoteReference"/>
          <w:rFonts w:ascii="Times New Roman" w:hAnsi="Times New Roman" w:cs="Times New Roman"/>
          <w:lang w:val="en-US"/>
        </w:rPr>
        <w:footnoteReference w:id="40"/>
      </w:r>
      <w:r w:rsidR="009523A2" w:rsidRPr="004F2B59">
        <w:rPr>
          <w:rFonts w:ascii="Times New Roman" w:hAnsi="Times New Roman" w:cs="Times New Roman"/>
          <w:lang w:val="en-US"/>
        </w:rPr>
        <w:t>It is notable that the burden of proof under the Act has been put on the accused and not the victim.</w:t>
      </w:r>
      <w:r w:rsidR="00451A71" w:rsidRPr="004F2B59">
        <w:rPr>
          <w:rStyle w:val="FootnoteReference"/>
          <w:rFonts w:ascii="Times New Roman" w:hAnsi="Times New Roman" w:cs="Times New Roman"/>
          <w:lang w:val="en-US"/>
        </w:rPr>
        <w:footnoteReference w:id="41"/>
      </w:r>
      <w:r w:rsidR="000A27F9" w:rsidRPr="004F2B59">
        <w:rPr>
          <w:rFonts w:ascii="Times New Roman" w:hAnsi="Times New Roman" w:cs="Times New Roman"/>
          <w:lang w:val="en-US"/>
        </w:rPr>
        <w:t xml:space="preserve">To ensure the safety of the child, the Act mandates the Special Court to keep a child friendly atmosphere during the trial </w:t>
      </w:r>
      <w:r w:rsidR="000A27F9" w:rsidRPr="004F2B59">
        <w:rPr>
          <w:rFonts w:ascii="Times New Roman" w:hAnsi="Times New Roman" w:cs="Times New Roman"/>
          <w:i/>
          <w:iCs/>
          <w:lang w:val="en-US"/>
        </w:rPr>
        <w:t>“by allowing a family member, guardian, a friend or a relative, in whom the child has trust or confidence, to be present in the court.”</w:t>
      </w:r>
      <w:r w:rsidR="000A27F9" w:rsidRPr="004F2B59">
        <w:rPr>
          <w:rStyle w:val="FootnoteReference"/>
          <w:rFonts w:ascii="Times New Roman" w:hAnsi="Times New Roman" w:cs="Times New Roman"/>
          <w:lang w:val="en-US"/>
        </w:rPr>
        <w:footnoteReference w:id="42"/>
      </w:r>
      <w:r w:rsidR="000A27F9" w:rsidRPr="004F2B59">
        <w:rPr>
          <w:rFonts w:ascii="Times New Roman" w:hAnsi="Times New Roman" w:cs="Times New Roman"/>
          <w:lang w:val="en-US"/>
        </w:rPr>
        <w:t xml:space="preserve"> Other provisions ensuring the safety of the child during trial</w:t>
      </w:r>
      <w:r w:rsidR="000C1A94" w:rsidRPr="004F2B59">
        <w:rPr>
          <w:rFonts w:ascii="Times New Roman" w:hAnsi="Times New Roman" w:cs="Times New Roman"/>
          <w:lang w:val="en-US"/>
        </w:rPr>
        <w:t xml:space="preserve"> in the Special Court</w:t>
      </w:r>
      <w:r w:rsidR="000A27F9" w:rsidRPr="004F2B59">
        <w:rPr>
          <w:rFonts w:ascii="Times New Roman" w:hAnsi="Times New Roman" w:cs="Times New Roman"/>
          <w:lang w:val="en-US"/>
        </w:rPr>
        <w:t xml:space="preserve"> include not calling the child to the court to repeatedly testify,</w:t>
      </w:r>
      <w:r w:rsidR="000A27F9" w:rsidRPr="004F2B59">
        <w:rPr>
          <w:rStyle w:val="FootnoteReference"/>
          <w:rFonts w:ascii="Times New Roman" w:hAnsi="Times New Roman" w:cs="Times New Roman"/>
          <w:lang w:val="en-US"/>
        </w:rPr>
        <w:footnoteReference w:id="43"/>
      </w:r>
      <w:r w:rsidR="000A27F9" w:rsidRPr="004F2B59">
        <w:rPr>
          <w:rFonts w:ascii="Times New Roman" w:hAnsi="Times New Roman" w:cs="Times New Roman"/>
          <w:lang w:val="en-US"/>
        </w:rPr>
        <w:t xml:space="preserve"> non-disclosure of the identity of child</w:t>
      </w:r>
      <w:r w:rsidR="00183D24" w:rsidRPr="004F2B59">
        <w:rPr>
          <w:rFonts w:ascii="Times New Roman" w:hAnsi="Times New Roman" w:cs="Times New Roman"/>
          <w:lang w:val="en-US"/>
        </w:rPr>
        <w:t>, restraint on aggressive question and character assassination</w:t>
      </w:r>
      <w:r w:rsidR="00183D24" w:rsidRPr="004F2B59">
        <w:rPr>
          <w:rStyle w:val="FootnoteReference"/>
          <w:rFonts w:ascii="Times New Roman" w:hAnsi="Times New Roman" w:cs="Times New Roman"/>
          <w:lang w:val="en-US"/>
        </w:rPr>
        <w:footnoteReference w:id="44"/>
      </w:r>
      <w:r w:rsidR="00183D24" w:rsidRPr="004F2B59">
        <w:rPr>
          <w:rFonts w:ascii="Times New Roman" w:hAnsi="Times New Roman" w:cs="Times New Roman"/>
          <w:lang w:val="en-US"/>
        </w:rPr>
        <w:t xml:space="preserve"> among others.</w:t>
      </w:r>
    </w:p>
    <w:p w:rsidR="001E4F8C" w:rsidRPr="004F2B59" w:rsidRDefault="00EC44C4"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The most important provision in the Act, though, was section 42-A </w:t>
      </w:r>
      <w:r w:rsidR="00234C7F" w:rsidRPr="004F2B59">
        <w:rPr>
          <w:rFonts w:ascii="Times New Roman" w:hAnsi="Times New Roman" w:cs="Times New Roman"/>
          <w:lang w:val="en-US"/>
        </w:rPr>
        <w:t>which provided that in case of a conflict with any other law, the provisions of this Act shall have an override the provisions of any other Act</w:t>
      </w:r>
      <w:r w:rsidR="00D757A6" w:rsidRPr="004F2B59">
        <w:rPr>
          <w:rFonts w:ascii="Times New Roman" w:hAnsi="Times New Roman" w:cs="Times New Roman"/>
          <w:lang w:val="en-US"/>
        </w:rPr>
        <w:t xml:space="preserve"> in force</w:t>
      </w:r>
      <w:r w:rsidR="00234C7F" w:rsidRPr="004F2B59">
        <w:rPr>
          <w:rFonts w:ascii="Times New Roman" w:hAnsi="Times New Roman" w:cs="Times New Roman"/>
          <w:lang w:val="en-US"/>
        </w:rPr>
        <w:t>.</w:t>
      </w:r>
      <w:r w:rsidR="00234C7F" w:rsidRPr="004F2B59">
        <w:rPr>
          <w:rStyle w:val="FootnoteReference"/>
          <w:rFonts w:ascii="Times New Roman" w:hAnsi="Times New Roman" w:cs="Times New Roman"/>
          <w:lang w:val="en-US"/>
        </w:rPr>
        <w:footnoteReference w:id="45"/>
      </w:r>
      <w:r w:rsidR="00E31A9C" w:rsidRPr="004F2B59">
        <w:rPr>
          <w:rFonts w:ascii="Times New Roman" w:hAnsi="Times New Roman" w:cs="Times New Roman"/>
          <w:lang w:val="en-US"/>
        </w:rPr>
        <w:t xml:space="preserve"> Later, the provisions of the IPC and POCSO were harmonized by the Criminal Law (Amendment) Act, 2013. The definition of rape was amended and the new provision provided that sexual intercourse with any female below the 18 years was termed as rape.</w:t>
      </w:r>
      <w:r w:rsidR="00E31A9C" w:rsidRPr="004F2B59">
        <w:rPr>
          <w:rStyle w:val="FootnoteReference"/>
          <w:rFonts w:ascii="Times New Roman" w:hAnsi="Times New Roman" w:cs="Times New Roman"/>
          <w:lang w:val="en-US"/>
        </w:rPr>
        <w:footnoteReference w:id="46"/>
      </w:r>
      <w:r w:rsidR="00146012" w:rsidRPr="004F2B59">
        <w:rPr>
          <w:rFonts w:ascii="Times New Roman" w:hAnsi="Times New Roman" w:cs="Times New Roman"/>
          <w:lang w:val="en-US"/>
        </w:rPr>
        <w:t>However, one pertinent contradiction that did remain was the marital rape exemption under clause 2 of section 375 according to which “</w:t>
      </w:r>
      <w:r w:rsidR="00146012" w:rsidRPr="004F2B59">
        <w:rPr>
          <w:rFonts w:ascii="Times New Roman" w:hAnsi="Times New Roman" w:cs="Times New Roman"/>
          <w:i/>
          <w:iCs/>
          <w:lang w:val="en-US"/>
        </w:rPr>
        <w:t>sexual intercourse or sexual acts by a man with his own wife not being under fifteen years of age, is not rape</w:t>
      </w:r>
      <w:r w:rsidR="00146012" w:rsidRPr="004F2B59">
        <w:rPr>
          <w:rFonts w:ascii="Times New Roman" w:hAnsi="Times New Roman" w:cs="Times New Roman"/>
          <w:lang w:val="en-US"/>
        </w:rPr>
        <w:t>.”</w:t>
      </w:r>
      <w:r w:rsidR="00146012" w:rsidRPr="004F2B59">
        <w:rPr>
          <w:rStyle w:val="FootnoteReference"/>
          <w:rFonts w:ascii="Times New Roman" w:hAnsi="Times New Roman" w:cs="Times New Roman"/>
          <w:lang w:val="en-US"/>
        </w:rPr>
        <w:footnoteReference w:id="47"/>
      </w:r>
      <w:r w:rsidR="001E4F8C" w:rsidRPr="004F2B59">
        <w:rPr>
          <w:rFonts w:ascii="Times New Roman" w:hAnsi="Times New Roman" w:cs="Times New Roman"/>
          <w:lang w:val="en-US"/>
        </w:rPr>
        <w:t xml:space="preserve">In the same year, the Supreme Court in the case of </w:t>
      </w:r>
      <w:r w:rsidR="001E4F8C" w:rsidRPr="004F2B59">
        <w:rPr>
          <w:rFonts w:ascii="Times New Roman" w:hAnsi="Times New Roman" w:cs="Times New Roman"/>
          <w:i/>
          <w:iCs/>
          <w:lang w:val="en-US"/>
        </w:rPr>
        <w:t>Independent Thought v. Union of India</w:t>
      </w:r>
      <w:r w:rsidR="001E4F8C" w:rsidRPr="004F2B59">
        <w:rPr>
          <w:rStyle w:val="FootnoteReference"/>
          <w:rFonts w:ascii="Times New Roman" w:hAnsi="Times New Roman" w:cs="Times New Roman"/>
          <w:i/>
          <w:iCs/>
          <w:lang w:val="en-US"/>
        </w:rPr>
        <w:footnoteReference w:id="48"/>
      </w:r>
      <w:r w:rsidR="001E4F8C" w:rsidRPr="004F2B59">
        <w:rPr>
          <w:rFonts w:ascii="Times New Roman" w:hAnsi="Times New Roman" w:cs="Times New Roman"/>
          <w:lang w:val="en-US"/>
        </w:rPr>
        <w:t xml:space="preserve"> held the provision to be unconstitutional to the extent when it applied to girls </w:t>
      </w:r>
      <w:r w:rsidR="001E4F8C" w:rsidRPr="004F2B59">
        <w:rPr>
          <w:rFonts w:ascii="Times New Roman" w:hAnsi="Times New Roman" w:cs="Times New Roman"/>
          <w:lang w:val="en-US"/>
        </w:rPr>
        <w:lastRenderedPageBreak/>
        <w:t xml:space="preserve">aged between </w:t>
      </w:r>
      <w:r w:rsidR="00BB4F1A" w:rsidRPr="004F2B59">
        <w:rPr>
          <w:rFonts w:ascii="Times New Roman" w:hAnsi="Times New Roman" w:cs="Times New Roman"/>
          <w:lang w:val="en-US"/>
        </w:rPr>
        <w:t>fifteen</w:t>
      </w:r>
      <w:r w:rsidR="001E4F8C" w:rsidRPr="004F2B59">
        <w:rPr>
          <w:rFonts w:ascii="Times New Roman" w:hAnsi="Times New Roman" w:cs="Times New Roman"/>
          <w:lang w:val="en-US"/>
        </w:rPr>
        <w:t xml:space="preserve"> to </w:t>
      </w:r>
      <w:r w:rsidR="00BB4F1A" w:rsidRPr="004F2B59">
        <w:rPr>
          <w:rFonts w:ascii="Times New Roman" w:hAnsi="Times New Roman" w:cs="Times New Roman"/>
          <w:lang w:val="en-US"/>
        </w:rPr>
        <w:t>eighteen</w:t>
      </w:r>
      <w:r w:rsidR="001E4F8C" w:rsidRPr="004F2B59">
        <w:rPr>
          <w:rFonts w:ascii="Times New Roman" w:hAnsi="Times New Roman" w:cs="Times New Roman"/>
          <w:lang w:val="en-US"/>
        </w:rPr>
        <w:t xml:space="preserve"> years. However, if the wife was above </w:t>
      </w:r>
      <w:r w:rsidR="00BB4F1A" w:rsidRPr="004F2B59">
        <w:rPr>
          <w:rFonts w:ascii="Times New Roman" w:hAnsi="Times New Roman" w:cs="Times New Roman"/>
          <w:lang w:val="en-US"/>
        </w:rPr>
        <w:t>eighteen</w:t>
      </w:r>
      <w:r w:rsidR="001E4F8C" w:rsidRPr="004F2B59">
        <w:rPr>
          <w:rFonts w:ascii="Times New Roman" w:hAnsi="Times New Roman" w:cs="Times New Roman"/>
          <w:lang w:val="en-US"/>
        </w:rPr>
        <w:t xml:space="preserve"> years old, i.e., of the legal age to get married, the exemption still stood. Therefore, the post the judgement, the provision was altered to </w:t>
      </w:r>
      <w:r w:rsidR="001E4F8C" w:rsidRPr="004F2B59">
        <w:rPr>
          <w:rFonts w:ascii="Times New Roman" w:hAnsi="Times New Roman" w:cs="Times New Roman"/>
          <w:i/>
          <w:iCs/>
        </w:rPr>
        <w:t>“Marital rape by a man with his wife, the wife not being less than 18 years of age, would not be rape.”</w:t>
      </w:r>
      <w:r w:rsidR="001E4F8C" w:rsidRPr="004F2B59">
        <w:rPr>
          <w:rStyle w:val="FootnoteReference"/>
          <w:rFonts w:ascii="Times New Roman" w:hAnsi="Times New Roman" w:cs="Times New Roman"/>
          <w:i/>
          <w:iCs/>
        </w:rPr>
        <w:footnoteReference w:id="49"/>
      </w:r>
      <w:r w:rsidR="00D21D2C" w:rsidRPr="004F2B59">
        <w:rPr>
          <w:rFonts w:ascii="Times New Roman" w:hAnsi="Times New Roman" w:cs="Times New Roman"/>
        </w:rPr>
        <w:t>The newly enacted Bharatiya Nyaya Sanhita, 2023 (BNS) which has replaced the IPC from 1</w:t>
      </w:r>
      <w:r w:rsidR="00D21D2C" w:rsidRPr="004F2B59">
        <w:rPr>
          <w:rFonts w:ascii="Times New Roman" w:hAnsi="Times New Roman" w:cs="Times New Roman"/>
          <w:vertAlign w:val="superscript"/>
        </w:rPr>
        <w:t>st</w:t>
      </w:r>
      <w:r w:rsidR="00D21D2C" w:rsidRPr="004F2B59">
        <w:rPr>
          <w:rFonts w:ascii="Times New Roman" w:hAnsi="Times New Roman" w:cs="Times New Roman"/>
        </w:rPr>
        <w:t xml:space="preserve"> July 2023 defines a child as a person below the age of </w:t>
      </w:r>
      <w:r w:rsidR="00BB4F1A" w:rsidRPr="004F2B59">
        <w:rPr>
          <w:rFonts w:ascii="Times New Roman" w:hAnsi="Times New Roman" w:cs="Times New Roman"/>
        </w:rPr>
        <w:t>eighteen</w:t>
      </w:r>
      <w:r w:rsidR="00D21D2C" w:rsidRPr="004F2B59">
        <w:rPr>
          <w:rFonts w:ascii="Times New Roman" w:hAnsi="Times New Roman" w:cs="Times New Roman"/>
        </w:rPr>
        <w:t xml:space="preserve"> years.</w:t>
      </w:r>
      <w:r w:rsidR="00D21D2C" w:rsidRPr="004F2B59">
        <w:rPr>
          <w:rStyle w:val="FootnoteReference"/>
          <w:rFonts w:ascii="Times New Roman" w:hAnsi="Times New Roman" w:cs="Times New Roman"/>
        </w:rPr>
        <w:footnoteReference w:id="50"/>
      </w:r>
    </w:p>
    <w:p w:rsidR="00515048" w:rsidRPr="004F2B59" w:rsidRDefault="00353159"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Thus, the present age for consent in India is </w:t>
      </w:r>
      <w:r w:rsidR="00BB4F1A" w:rsidRPr="004F2B59">
        <w:rPr>
          <w:rFonts w:ascii="Times New Roman" w:hAnsi="Times New Roman" w:cs="Times New Roman"/>
          <w:lang w:val="en-US"/>
        </w:rPr>
        <w:t>eighteen</w:t>
      </w:r>
      <w:r w:rsidRPr="004F2B59">
        <w:rPr>
          <w:rFonts w:ascii="Times New Roman" w:hAnsi="Times New Roman" w:cs="Times New Roman"/>
          <w:lang w:val="en-US"/>
        </w:rPr>
        <w:t xml:space="preserve"> years according to the POCSO Act, whereas the </w:t>
      </w:r>
      <w:r w:rsidR="00515048" w:rsidRPr="004F2B59">
        <w:rPr>
          <w:rFonts w:ascii="Times New Roman" w:hAnsi="Times New Roman" w:cs="Times New Roman"/>
          <w:lang w:val="en-US"/>
        </w:rPr>
        <w:t xml:space="preserve">legal </w:t>
      </w:r>
      <w:r w:rsidRPr="004F2B59">
        <w:rPr>
          <w:rFonts w:ascii="Times New Roman" w:hAnsi="Times New Roman" w:cs="Times New Roman"/>
          <w:lang w:val="en-US"/>
        </w:rPr>
        <w:t xml:space="preserve">age for marriage is </w:t>
      </w:r>
      <w:r w:rsidR="00BB4F1A" w:rsidRPr="004F2B59">
        <w:rPr>
          <w:rFonts w:ascii="Times New Roman" w:hAnsi="Times New Roman" w:cs="Times New Roman"/>
          <w:lang w:val="en-US"/>
        </w:rPr>
        <w:t>twenty-one</w:t>
      </w:r>
      <w:r w:rsidRPr="004F2B59">
        <w:rPr>
          <w:rFonts w:ascii="Times New Roman" w:hAnsi="Times New Roman" w:cs="Times New Roman"/>
          <w:lang w:val="en-US"/>
        </w:rPr>
        <w:t xml:space="preserve"> years for males and </w:t>
      </w:r>
      <w:r w:rsidR="00BB4F1A" w:rsidRPr="004F2B59">
        <w:rPr>
          <w:rFonts w:ascii="Times New Roman" w:hAnsi="Times New Roman" w:cs="Times New Roman"/>
          <w:lang w:val="en-US"/>
        </w:rPr>
        <w:t>eighteen</w:t>
      </w:r>
      <w:r w:rsidRPr="004F2B59">
        <w:rPr>
          <w:rFonts w:ascii="Times New Roman" w:hAnsi="Times New Roman" w:cs="Times New Roman"/>
          <w:lang w:val="en-US"/>
        </w:rPr>
        <w:t xml:space="preserve"> years for females according to the PCMA. If we read the</w:t>
      </w:r>
      <w:r w:rsidR="00515048" w:rsidRPr="004F2B59">
        <w:rPr>
          <w:rFonts w:ascii="Times New Roman" w:hAnsi="Times New Roman" w:cs="Times New Roman"/>
          <w:lang w:val="en-US"/>
        </w:rPr>
        <w:t xml:space="preserve"> two acts in relation to each other, even if individuals are married before the age for marriageby their parents, they cannot engage in sexual intercourse before the age of </w:t>
      </w:r>
      <w:r w:rsidR="00BB4F1A" w:rsidRPr="004F2B59">
        <w:rPr>
          <w:rFonts w:ascii="Times New Roman" w:hAnsi="Times New Roman" w:cs="Times New Roman"/>
          <w:lang w:val="en-US"/>
        </w:rPr>
        <w:t>eighteen</w:t>
      </w:r>
      <w:r w:rsidR="00515048" w:rsidRPr="004F2B59">
        <w:rPr>
          <w:rFonts w:ascii="Times New Roman" w:hAnsi="Times New Roman" w:cs="Times New Roman"/>
          <w:lang w:val="en-US"/>
        </w:rPr>
        <w:t xml:space="preserve"> years as the POCSO Act will have an overriding effect on all the provisions of the PCMA. </w:t>
      </w:r>
    </w:p>
    <w:p w:rsidR="00154475" w:rsidRDefault="00154475"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The provisions of the POCSO Act use the words </w:t>
      </w:r>
      <w:r w:rsidRPr="004F2B59">
        <w:rPr>
          <w:rFonts w:ascii="Times New Roman" w:hAnsi="Times New Roman" w:cs="Times New Roman"/>
          <w:i/>
          <w:iCs/>
          <w:lang w:val="en-US"/>
        </w:rPr>
        <w:t xml:space="preserve">a person </w:t>
      </w:r>
      <w:r w:rsidRPr="004F2B59">
        <w:rPr>
          <w:rFonts w:ascii="Times New Roman" w:hAnsi="Times New Roman" w:cs="Times New Roman"/>
          <w:lang w:val="en-US"/>
        </w:rPr>
        <w:t xml:space="preserve">and </w:t>
      </w:r>
      <w:r w:rsidRPr="004F2B59">
        <w:rPr>
          <w:rFonts w:ascii="Times New Roman" w:hAnsi="Times New Roman" w:cs="Times New Roman"/>
          <w:i/>
          <w:iCs/>
          <w:lang w:val="en-US"/>
        </w:rPr>
        <w:t xml:space="preserve">whoever </w:t>
      </w:r>
      <w:r w:rsidRPr="004F2B59">
        <w:rPr>
          <w:rFonts w:ascii="Times New Roman" w:hAnsi="Times New Roman" w:cs="Times New Roman"/>
          <w:lang w:val="en-US"/>
        </w:rPr>
        <w:t>while defining the offences clearly indicating that criminal liability can also be put on a child if he or she commits an act deemed so. Further, it also lays down a separate procedure for trial if the accused is a child. If the child is an accused, he/she shall be dealt according to the procedures in Juvenile Justice (Care and Protection) Act, 2015.</w:t>
      </w:r>
      <w:r w:rsidRPr="004F2B59">
        <w:rPr>
          <w:rStyle w:val="FootnoteReference"/>
          <w:rFonts w:ascii="Times New Roman" w:hAnsi="Times New Roman" w:cs="Times New Roman"/>
          <w:lang w:val="en-US"/>
        </w:rPr>
        <w:footnoteReference w:id="51"/>
      </w:r>
    </w:p>
    <w:p w:rsidR="00264959" w:rsidRPr="004F2B59" w:rsidRDefault="00264959" w:rsidP="004F2B59">
      <w:pPr>
        <w:spacing w:after="0" w:line="320" w:lineRule="exact"/>
        <w:ind w:firstLine="432"/>
        <w:jc w:val="both"/>
        <w:rPr>
          <w:rFonts w:ascii="Times New Roman" w:hAnsi="Times New Roman" w:cs="Times New Roman"/>
          <w:lang w:val="en-US"/>
        </w:rPr>
      </w:pPr>
    </w:p>
    <w:p w:rsidR="001D50D0" w:rsidRPr="004F2B59" w:rsidRDefault="005F27E4" w:rsidP="004F2B59">
      <w:pPr>
        <w:pStyle w:val="ListParagraph"/>
        <w:numPr>
          <w:ilvl w:val="1"/>
          <w:numId w:val="9"/>
        </w:numPr>
        <w:spacing w:after="0" w:line="320" w:lineRule="exact"/>
        <w:ind w:left="0" w:firstLine="432"/>
        <w:contextualSpacing w:val="0"/>
        <w:jc w:val="both"/>
        <w:rPr>
          <w:rFonts w:ascii="Times New Roman" w:hAnsi="Times New Roman" w:cs="Times New Roman"/>
          <w:b/>
          <w:bCs/>
          <w:lang w:val="en-US"/>
        </w:rPr>
      </w:pPr>
      <w:r w:rsidRPr="004F2B59">
        <w:rPr>
          <w:rFonts w:ascii="Times New Roman" w:hAnsi="Times New Roman" w:cs="Times New Roman"/>
          <w:b/>
          <w:bCs/>
          <w:lang w:val="en-US"/>
        </w:rPr>
        <w:t xml:space="preserve">Data </w:t>
      </w:r>
      <w:r w:rsidR="001D50D0" w:rsidRPr="004F2B59">
        <w:rPr>
          <w:rFonts w:ascii="Times New Roman" w:hAnsi="Times New Roman" w:cs="Times New Roman"/>
          <w:b/>
          <w:bCs/>
          <w:lang w:val="en-US"/>
        </w:rPr>
        <w:t xml:space="preserve">Regarding </w:t>
      </w:r>
      <w:r w:rsidR="00515048" w:rsidRPr="004F2B59">
        <w:rPr>
          <w:rFonts w:ascii="Times New Roman" w:hAnsi="Times New Roman" w:cs="Times New Roman"/>
          <w:b/>
          <w:bCs/>
          <w:lang w:val="en-US"/>
        </w:rPr>
        <w:t xml:space="preserve">Romantic Relationships </w:t>
      </w:r>
      <w:r w:rsidR="00766764" w:rsidRPr="004F2B59">
        <w:rPr>
          <w:rFonts w:ascii="Times New Roman" w:hAnsi="Times New Roman" w:cs="Times New Roman"/>
          <w:b/>
          <w:bCs/>
          <w:lang w:val="en-US"/>
        </w:rPr>
        <w:t>between</w:t>
      </w:r>
      <w:r w:rsidR="00154475" w:rsidRPr="004F2B59">
        <w:rPr>
          <w:rFonts w:ascii="Times New Roman" w:hAnsi="Times New Roman" w:cs="Times New Roman"/>
          <w:b/>
          <w:bCs/>
          <w:lang w:val="en-US"/>
        </w:rPr>
        <w:t xml:space="preserve"> Children and</w:t>
      </w:r>
      <w:r w:rsidR="00766764" w:rsidRPr="004F2B59">
        <w:rPr>
          <w:rFonts w:ascii="Times New Roman" w:hAnsi="Times New Roman" w:cs="Times New Roman"/>
          <w:b/>
          <w:bCs/>
          <w:lang w:val="en-US"/>
        </w:rPr>
        <w:t xml:space="preserve"> Adolescents</w:t>
      </w:r>
      <w:r w:rsidR="001D50D0" w:rsidRPr="004F2B59">
        <w:rPr>
          <w:rFonts w:ascii="Times New Roman" w:hAnsi="Times New Roman" w:cs="Times New Roman"/>
          <w:b/>
          <w:bCs/>
          <w:lang w:val="en-US"/>
        </w:rPr>
        <w:t xml:space="preserve"> in India</w:t>
      </w:r>
    </w:p>
    <w:p w:rsidR="001D50D0" w:rsidRPr="004F2B59" w:rsidRDefault="001D50D0"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The presence of a law regarding age of consent means that even children or adolescents cannot indulge in any sexual activity with another such individual as it will lead to lead criminal liability.</w:t>
      </w:r>
      <w:r w:rsidR="00980450" w:rsidRPr="004F2B59">
        <w:rPr>
          <w:rFonts w:ascii="Times New Roman" w:hAnsi="Times New Roman" w:cs="Times New Roman"/>
          <w:lang w:val="en-US"/>
        </w:rPr>
        <w:t xml:space="preserve"> However</w:t>
      </w:r>
      <w:r w:rsidR="00331DA4" w:rsidRPr="004F2B59">
        <w:rPr>
          <w:rFonts w:ascii="Times New Roman" w:hAnsi="Times New Roman" w:cs="Times New Roman"/>
          <w:lang w:val="en-US"/>
        </w:rPr>
        <w:t>,</w:t>
      </w:r>
      <w:r w:rsidR="00980450" w:rsidRPr="004F2B59">
        <w:rPr>
          <w:rFonts w:ascii="Times New Roman" w:hAnsi="Times New Roman" w:cs="Times New Roman"/>
          <w:lang w:val="en-US"/>
        </w:rPr>
        <w:t xml:space="preserve"> in contrast</w:t>
      </w:r>
      <w:r w:rsidR="00154475" w:rsidRPr="004F2B59">
        <w:rPr>
          <w:rFonts w:ascii="Times New Roman" w:hAnsi="Times New Roman" w:cs="Times New Roman"/>
          <w:lang w:val="en-US"/>
        </w:rPr>
        <w:t>, there is enough data to show the prevalence of consensual sexual activity amongst children and adolescents in India.</w:t>
      </w:r>
      <w:r w:rsidRPr="004F2B59">
        <w:rPr>
          <w:rFonts w:ascii="Times New Roman" w:hAnsi="Times New Roman" w:cs="Times New Roman"/>
          <w:lang w:val="en-US"/>
        </w:rPr>
        <w:t xml:space="preserve">According to the National Family Health Survey-3 (NFHS-3) held in the year 2005-06, </w:t>
      </w:r>
      <w:r w:rsidR="00BB4F1A" w:rsidRPr="004F2B59">
        <w:rPr>
          <w:rFonts w:ascii="Times New Roman" w:hAnsi="Times New Roman" w:cs="Times New Roman"/>
          <w:lang w:val="en-US"/>
        </w:rPr>
        <w:t>20 percent</w:t>
      </w:r>
      <w:r w:rsidRPr="004F2B59">
        <w:rPr>
          <w:rFonts w:ascii="Times New Roman" w:hAnsi="Times New Roman" w:cs="Times New Roman"/>
          <w:lang w:val="en-US"/>
        </w:rPr>
        <w:t xml:space="preserve"> of women interviewed aged between 25-49 years </w:t>
      </w:r>
      <w:r w:rsidRPr="004F2B59">
        <w:rPr>
          <w:rFonts w:ascii="Times New Roman" w:hAnsi="Times New Roman" w:cs="Times New Roman"/>
          <w:lang w:val="en-US"/>
        </w:rPr>
        <w:lastRenderedPageBreak/>
        <w:t xml:space="preserve">confessed to having had their first sexual encounter before they turned </w:t>
      </w:r>
      <w:r w:rsidR="00BB4F1A" w:rsidRPr="004F2B59">
        <w:rPr>
          <w:rFonts w:ascii="Times New Roman" w:hAnsi="Times New Roman" w:cs="Times New Roman"/>
          <w:lang w:val="en-US"/>
        </w:rPr>
        <w:t>fifteen</w:t>
      </w:r>
      <w:r w:rsidRPr="004F2B59">
        <w:rPr>
          <w:rFonts w:ascii="Times New Roman" w:hAnsi="Times New Roman" w:cs="Times New Roman"/>
          <w:lang w:val="en-US"/>
        </w:rPr>
        <w:t xml:space="preserve"> while 55 percent confessed to having it prior to attaining </w:t>
      </w:r>
      <w:r w:rsidR="00BB4F1A" w:rsidRPr="004F2B59">
        <w:rPr>
          <w:rFonts w:ascii="Times New Roman" w:hAnsi="Times New Roman" w:cs="Times New Roman"/>
          <w:lang w:val="en-US"/>
        </w:rPr>
        <w:t>eighteen</w:t>
      </w:r>
      <w:r w:rsidRPr="004F2B59">
        <w:rPr>
          <w:rFonts w:ascii="Times New Roman" w:hAnsi="Times New Roman" w:cs="Times New Roman"/>
          <w:lang w:val="en-US"/>
        </w:rPr>
        <w:t xml:space="preserve"> years of age.</w:t>
      </w:r>
      <w:r w:rsidRPr="004F2B59">
        <w:rPr>
          <w:rStyle w:val="FootnoteReference"/>
          <w:rFonts w:ascii="Times New Roman" w:hAnsi="Times New Roman" w:cs="Times New Roman"/>
          <w:lang w:val="en-US"/>
        </w:rPr>
        <w:footnoteReference w:id="52"/>
      </w:r>
      <w:r w:rsidRPr="004F2B59">
        <w:rPr>
          <w:rFonts w:ascii="Times New Roman" w:hAnsi="Times New Roman" w:cs="Times New Roman"/>
          <w:lang w:val="en-US"/>
        </w:rPr>
        <w:t xml:space="preserve"> The age for giving consent for sexual intercourse in the year 2005-06 was </w:t>
      </w:r>
      <w:r w:rsidR="00BB4F1A" w:rsidRPr="004F2B59">
        <w:rPr>
          <w:rFonts w:ascii="Times New Roman" w:hAnsi="Times New Roman" w:cs="Times New Roman"/>
          <w:lang w:val="en-US"/>
        </w:rPr>
        <w:t>sixteen</w:t>
      </w:r>
      <w:r w:rsidRPr="004F2B59">
        <w:rPr>
          <w:rFonts w:ascii="Times New Roman" w:hAnsi="Times New Roman" w:cs="Times New Roman"/>
          <w:lang w:val="en-US"/>
        </w:rPr>
        <w:t xml:space="preserve"> years.</w:t>
      </w:r>
      <w:r w:rsidRPr="004F2B59">
        <w:rPr>
          <w:rStyle w:val="FootnoteReference"/>
          <w:rFonts w:ascii="Times New Roman" w:hAnsi="Times New Roman" w:cs="Times New Roman"/>
          <w:lang w:val="en-US"/>
        </w:rPr>
        <w:footnoteReference w:id="53"/>
      </w:r>
      <w:r w:rsidR="005F27E4" w:rsidRPr="004F2B59">
        <w:rPr>
          <w:rFonts w:ascii="Times New Roman" w:hAnsi="Times New Roman" w:cs="Times New Roman"/>
          <w:lang w:val="en-US"/>
        </w:rPr>
        <w:t xml:space="preserve">Similarly </w:t>
      </w:r>
      <w:r w:rsidR="00451702" w:rsidRPr="004F2B59">
        <w:rPr>
          <w:rFonts w:ascii="Times New Roman" w:hAnsi="Times New Roman" w:cs="Times New Roman"/>
          <w:lang w:val="en-US"/>
        </w:rPr>
        <w:t>T</w:t>
      </w:r>
      <w:r w:rsidR="00980450" w:rsidRPr="004F2B59">
        <w:rPr>
          <w:rFonts w:ascii="Times New Roman" w:hAnsi="Times New Roman" w:cs="Times New Roman"/>
          <w:lang w:val="en-US"/>
        </w:rPr>
        <w:t>he National Family Health Survey-4</w:t>
      </w:r>
      <w:r w:rsidRPr="004F2B59">
        <w:rPr>
          <w:rFonts w:ascii="Times New Roman" w:hAnsi="Times New Roman" w:cs="Times New Roman"/>
          <w:lang w:val="en-US"/>
        </w:rPr>
        <w:t xml:space="preserve">held in the year 2015-16 </w:t>
      </w:r>
      <w:r w:rsidR="00451702" w:rsidRPr="004F2B59">
        <w:rPr>
          <w:rFonts w:ascii="Times New Roman" w:hAnsi="Times New Roman" w:cs="Times New Roman"/>
          <w:lang w:val="en-US"/>
        </w:rPr>
        <w:t xml:space="preserve"> also </w:t>
      </w:r>
      <w:r w:rsidRPr="004F2B59">
        <w:rPr>
          <w:rFonts w:ascii="Times New Roman" w:hAnsi="Times New Roman" w:cs="Times New Roman"/>
          <w:lang w:val="en-US"/>
        </w:rPr>
        <w:t xml:space="preserve">showed that 11 percent of women between 25-49 years of age had their first sexual intercourse before the age of </w:t>
      </w:r>
      <w:r w:rsidR="00BB4F1A" w:rsidRPr="004F2B59">
        <w:rPr>
          <w:rFonts w:ascii="Times New Roman" w:hAnsi="Times New Roman" w:cs="Times New Roman"/>
          <w:lang w:val="en-US"/>
        </w:rPr>
        <w:t>fifteen</w:t>
      </w:r>
      <w:r w:rsidRPr="004F2B59">
        <w:rPr>
          <w:rFonts w:ascii="Times New Roman" w:hAnsi="Times New Roman" w:cs="Times New Roman"/>
          <w:lang w:val="en-US"/>
        </w:rPr>
        <w:t xml:space="preserve"> while 39 percent had their first sexual experience before they turned </w:t>
      </w:r>
      <w:r w:rsidR="00BB4F1A" w:rsidRPr="004F2B59">
        <w:rPr>
          <w:rFonts w:ascii="Times New Roman" w:hAnsi="Times New Roman" w:cs="Times New Roman"/>
          <w:lang w:val="en-US"/>
        </w:rPr>
        <w:t>eighteen</w:t>
      </w:r>
      <w:r w:rsidRPr="004F2B59">
        <w:rPr>
          <w:rFonts w:ascii="Times New Roman" w:hAnsi="Times New Roman" w:cs="Times New Roman"/>
          <w:lang w:val="en-US"/>
        </w:rPr>
        <w:t xml:space="preserve">. With respect to men, only 1 percent of the men surveyed had their sexual intercourse before they turned </w:t>
      </w:r>
      <w:r w:rsidR="00BB4F1A" w:rsidRPr="004F2B59">
        <w:rPr>
          <w:rFonts w:ascii="Times New Roman" w:hAnsi="Times New Roman" w:cs="Times New Roman"/>
          <w:lang w:val="en-US"/>
        </w:rPr>
        <w:t>fifteen</w:t>
      </w:r>
      <w:r w:rsidRPr="004F2B59">
        <w:rPr>
          <w:rFonts w:ascii="Times New Roman" w:hAnsi="Times New Roman" w:cs="Times New Roman"/>
          <w:lang w:val="en-US"/>
        </w:rPr>
        <w:t xml:space="preserve"> and 7 percent had intercourse before turning </w:t>
      </w:r>
      <w:r w:rsidR="00BB4F1A" w:rsidRPr="004F2B59">
        <w:rPr>
          <w:rFonts w:ascii="Times New Roman" w:hAnsi="Times New Roman" w:cs="Times New Roman"/>
          <w:lang w:val="en-US"/>
        </w:rPr>
        <w:t>eighteen</w:t>
      </w:r>
      <w:r w:rsidRPr="004F2B59">
        <w:rPr>
          <w:rFonts w:ascii="Times New Roman" w:hAnsi="Times New Roman" w:cs="Times New Roman"/>
          <w:lang w:val="en-US"/>
        </w:rPr>
        <w:t xml:space="preserve"> years.</w:t>
      </w:r>
      <w:r w:rsidRPr="004F2B59">
        <w:rPr>
          <w:rStyle w:val="FootnoteReference"/>
          <w:rFonts w:ascii="Times New Roman" w:hAnsi="Times New Roman" w:cs="Times New Roman"/>
          <w:lang w:val="en-US"/>
        </w:rPr>
        <w:footnoteReference w:id="54"/>
      </w:r>
      <w:r w:rsidRPr="004F2B59">
        <w:rPr>
          <w:rFonts w:ascii="Times New Roman" w:hAnsi="Times New Roman" w:cs="Times New Roman"/>
          <w:lang w:val="en-US"/>
        </w:rPr>
        <w:t xml:space="preserve"> Further, it also shed light on the fact that 7.9% of women aged 15-19 years had either become mothers or were pregnant at the time of the survey.</w:t>
      </w:r>
      <w:r w:rsidRPr="004F2B59">
        <w:rPr>
          <w:rStyle w:val="FootnoteReference"/>
          <w:rFonts w:ascii="Times New Roman" w:hAnsi="Times New Roman" w:cs="Times New Roman"/>
          <w:lang w:val="en-US"/>
        </w:rPr>
        <w:footnoteReference w:id="55"/>
      </w:r>
      <w:r w:rsidRPr="004F2B59">
        <w:rPr>
          <w:rFonts w:ascii="Times New Roman" w:hAnsi="Times New Roman" w:cs="Times New Roman"/>
          <w:lang w:val="en-US"/>
        </w:rPr>
        <w:t xml:space="preserve"> This data is in stark contrast to the demure, virtuous and rather unrealistic portrayal of </w:t>
      </w:r>
      <w:r w:rsidRPr="004F2B59">
        <w:rPr>
          <w:rFonts w:ascii="Times New Roman" w:hAnsi="Times New Roman" w:cs="Times New Roman"/>
          <w:i/>
          <w:iCs/>
          <w:lang w:val="en-US"/>
        </w:rPr>
        <w:t>adolescent romance</w:t>
      </w:r>
      <w:r w:rsidRPr="004F2B59">
        <w:rPr>
          <w:rStyle w:val="FootnoteReference"/>
          <w:rFonts w:ascii="Times New Roman" w:hAnsi="Times New Roman" w:cs="Times New Roman"/>
          <w:i/>
          <w:iCs/>
          <w:lang w:val="en-US"/>
        </w:rPr>
        <w:footnoteReference w:id="56"/>
      </w:r>
      <w:r w:rsidRPr="004F2B59">
        <w:rPr>
          <w:rFonts w:ascii="Times New Roman" w:hAnsi="Times New Roman" w:cs="Times New Roman"/>
          <w:lang w:val="en-US"/>
        </w:rPr>
        <w:t xml:space="preserve"> in films and media, thus hiding the darker aspects of it. </w:t>
      </w:r>
      <w:r w:rsidR="0049247F" w:rsidRPr="004F2B59">
        <w:rPr>
          <w:rFonts w:ascii="Times New Roman" w:hAnsi="Times New Roman" w:cs="Times New Roman"/>
          <w:lang w:val="en-US"/>
        </w:rPr>
        <w:t xml:space="preserve">Another </w:t>
      </w:r>
      <w:r w:rsidR="00980450" w:rsidRPr="004F2B59">
        <w:rPr>
          <w:rFonts w:ascii="Times New Roman" w:hAnsi="Times New Roman" w:cs="Times New Roman"/>
          <w:lang w:val="en-US"/>
        </w:rPr>
        <w:t xml:space="preserve">piece of </w:t>
      </w:r>
      <w:r w:rsidRPr="004F2B59">
        <w:rPr>
          <w:rFonts w:ascii="Times New Roman" w:hAnsi="Times New Roman" w:cs="Times New Roman"/>
          <w:lang w:val="en-US"/>
        </w:rPr>
        <w:t>literature that shed light on the prevalence of consensual adolescent relationships in the Indian society</w:t>
      </w:r>
      <w:r w:rsidR="00980450" w:rsidRPr="004F2B59">
        <w:rPr>
          <w:rFonts w:ascii="Times New Roman" w:hAnsi="Times New Roman" w:cs="Times New Roman"/>
          <w:lang w:val="en-US"/>
        </w:rPr>
        <w:t xml:space="preserve"> was the Youth in India </w:t>
      </w:r>
      <w:r w:rsidR="00C552B5" w:rsidRPr="004F2B59">
        <w:rPr>
          <w:rFonts w:ascii="Times New Roman" w:hAnsi="Times New Roman" w:cs="Times New Roman"/>
          <w:lang w:val="en-US"/>
        </w:rPr>
        <w:t>Report 2006</w:t>
      </w:r>
      <w:r w:rsidR="00980450" w:rsidRPr="004F2B59">
        <w:rPr>
          <w:rFonts w:ascii="Times New Roman" w:hAnsi="Times New Roman" w:cs="Times New Roman"/>
          <w:lang w:val="en-US"/>
        </w:rPr>
        <w:t>-07</w:t>
      </w:r>
      <w:r w:rsidR="0049247F" w:rsidRPr="004F2B59">
        <w:rPr>
          <w:rFonts w:ascii="Times New Roman" w:hAnsi="Times New Roman" w:cs="Times New Roman"/>
          <w:lang w:val="en-US"/>
        </w:rPr>
        <w:t xml:space="preserve">. Herein , the </w:t>
      </w:r>
      <w:r w:rsidRPr="004F2B59">
        <w:rPr>
          <w:rFonts w:ascii="Times New Roman" w:hAnsi="Times New Roman" w:cs="Times New Roman"/>
          <w:lang w:val="en-US"/>
        </w:rPr>
        <w:t xml:space="preserve"> survey conducted </w:t>
      </w:r>
      <w:r w:rsidR="0049247F" w:rsidRPr="004F2B59">
        <w:rPr>
          <w:rFonts w:ascii="Times New Roman" w:hAnsi="Times New Roman" w:cs="Times New Roman"/>
          <w:lang w:val="en-US"/>
        </w:rPr>
        <w:t xml:space="preserve">on  </w:t>
      </w:r>
      <w:r w:rsidRPr="004F2B59">
        <w:rPr>
          <w:rFonts w:ascii="Times New Roman" w:hAnsi="Times New Roman" w:cs="Times New Roman"/>
          <w:lang w:val="en-US"/>
        </w:rPr>
        <w:t>young people between 15</w:t>
      </w:r>
      <w:r w:rsidR="0049247F" w:rsidRPr="004F2B59">
        <w:rPr>
          <w:rFonts w:ascii="Times New Roman" w:hAnsi="Times New Roman" w:cs="Times New Roman"/>
          <w:lang w:val="en-US"/>
        </w:rPr>
        <w:t xml:space="preserve"> to 24 years of age,</w:t>
      </w:r>
      <w:r w:rsidRPr="004F2B59">
        <w:rPr>
          <w:rFonts w:ascii="Times New Roman" w:hAnsi="Times New Roman" w:cs="Times New Roman"/>
          <w:lang w:val="en-US"/>
        </w:rPr>
        <w:t xml:space="preserve"> revealed that up to 11.1% of men had their first sexual encounter between the </w:t>
      </w:r>
      <w:r w:rsidR="00BB4F1A" w:rsidRPr="004F2B59">
        <w:rPr>
          <w:rFonts w:ascii="Times New Roman" w:hAnsi="Times New Roman" w:cs="Times New Roman"/>
          <w:lang w:val="en-US"/>
        </w:rPr>
        <w:t>fifteen</w:t>
      </w:r>
      <w:r w:rsidRPr="004F2B59">
        <w:rPr>
          <w:rFonts w:ascii="Times New Roman" w:hAnsi="Times New Roman" w:cs="Times New Roman"/>
          <w:lang w:val="en-US"/>
        </w:rPr>
        <w:t xml:space="preserve"> to </w:t>
      </w:r>
      <w:r w:rsidR="00BB4F1A" w:rsidRPr="004F2B59">
        <w:rPr>
          <w:rFonts w:ascii="Times New Roman" w:hAnsi="Times New Roman" w:cs="Times New Roman"/>
          <w:lang w:val="en-US"/>
        </w:rPr>
        <w:t>nineteen</w:t>
      </w:r>
      <w:r w:rsidRPr="004F2B59">
        <w:rPr>
          <w:rFonts w:ascii="Times New Roman" w:hAnsi="Times New Roman" w:cs="Times New Roman"/>
          <w:lang w:val="en-US"/>
        </w:rPr>
        <w:t xml:space="preserve"> years of age, whereas up to 3.4% of women admitted to the same.</w:t>
      </w:r>
      <w:r w:rsidRPr="004F2B59">
        <w:rPr>
          <w:rStyle w:val="FootnoteReference"/>
          <w:rFonts w:ascii="Times New Roman" w:hAnsi="Times New Roman" w:cs="Times New Roman"/>
          <w:lang w:val="en-US"/>
        </w:rPr>
        <w:footnoteReference w:id="57"/>
      </w:r>
      <w:r w:rsidR="0049247F" w:rsidRPr="004F2B59">
        <w:rPr>
          <w:rFonts w:ascii="Times New Roman" w:hAnsi="Times New Roman" w:cs="Times New Roman"/>
          <w:lang w:val="en-US"/>
        </w:rPr>
        <w:t>Further, a</w:t>
      </w:r>
      <w:r w:rsidRPr="004F2B59">
        <w:rPr>
          <w:rFonts w:ascii="Times New Roman" w:hAnsi="Times New Roman" w:cs="Times New Roman"/>
          <w:lang w:val="en-US"/>
        </w:rPr>
        <w:t>ccording to the report, of the total urban</w:t>
      </w:r>
      <w:r w:rsidR="00DC2602" w:rsidRPr="004F2B59">
        <w:rPr>
          <w:rFonts w:ascii="Times New Roman" w:hAnsi="Times New Roman" w:cs="Times New Roman"/>
          <w:lang w:val="en-US"/>
        </w:rPr>
        <w:t xml:space="preserve"> and rural</w:t>
      </w:r>
      <w:r w:rsidRPr="004F2B59">
        <w:rPr>
          <w:rFonts w:ascii="Times New Roman" w:hAnsi="Times New Roman" w:cs="Times New Roman"/>
          <w:lang w:val="en-US"/>
        </w:rPr>
        <w:t xml:space="preserve"> male respondents, 5.3%</w:t>
      </w:r>
      <w:r w:rsidR="00DC2602" w:rsidRPr="004F2B59">
        <w:rPr>
          <w:rFonts w:ascii="Times New Roman" w:hAnsi="Times New Roman" w:cs="Times New Roman"/>
          <w:lang w:val="en-US"/>
        </w:rPr>
        <w:t xml:space="preserve"> and 13.4% respectively</w:t>
      </w:r>
      <w:r w:rsidRPr="004F2B59">
        <w:rPr>
          <w:rFonts w:ascii="Times New Roman" w:hAnsi="Times New Roman" w:cs="Times New Roman"/>
          <w:lang w:val="en-US"/>
        </w:rPr>
        <w:t xml:space="preserve"> accepted to having their first consensual sexual encounter between the ages of </w:t>
      </w:r>
      <w:r w:rsidR="00BB4F1A" w:rsidRPr="004F2B59">
        <w:rPr>
          <w:rFonts w:ascii="Times New Roman" w:hAnsi="Times New Roman" w:cs="Times New Roman"/>
          <w:lang w:val="en-US"/>
        </w:rPr>
        <w:t>fifteen to nineteen</w:t>
      </w:r>
      <w:r w:rsidRPr="004F2B59">
        <w:rPr>
          <w:rFonts w:ascii="Times New Roman" w:hAnsi="Times New Roman" w:cs="Times New Roman"/>
          <w:lang w:val="en-US"/>
        </w:rPr>
        <w:t>.</w:t>
      </w:r>
      <w:r w:rsidRPr="004F2B59">
        <w:rPr>
          <w:rStyle w:val="FootnoteReference"/>
          <w:rFonts w:ascii="Times New Roman" w:hAnsi="Times New Roman" w:cs="Times New Roman"/>
          <w:lang w:val="en-US"/>
        </w:rPr>
        <w:footnoteReference w:id="58"/>
      </w:r>
      <w:r w:rsidRPr="004F2B59">
        <w:rPr>
          <w:rFonts w:ascii="Times New Roman" w:hAnsi="Times New Roman" w:cs="Times New Roman"/>
          <w:lang w:val="en-US"/>
        </w:rPr>
        <w:t xml:space="preserve"> The same pattern could be seen amongst women as well, however the difference between the urban and the rural wasn’t as high as the men</w:t>
      </w:r>
      <w:r w:rsidR="00DC2602" w:rsidRPr="004F2B59">
        <w:rPr>
          <w:rFonts w:ascii="Times New Roman" w:hAnsi="Times New Roman" w:cs="Times New Roman"/>
          <w:lang w:val="en-US"/>
        </w:rPr>
        <w:t xml:space="preserve"> withu</w:t>
      </w:r>
      <w:r w:rsidRPr="004F2B59">
        <w:rPr>
          <w:rFonts w:ascii="Times New Roman" w:hAnsi="Times New Roman" w:cs="Times New Roman"/>
          <w:lang w:val="en-US"/>
        </w:rPr>
        <w:t>p to 2.3%</w:t>
      </w:r>
      <w:r w:rsidR="00DC2602" w:rsidRPr="004F2B59">
        <w:rPr>
          <w:rFonts w:ascii="Times New Roman" w:hAnsi="Times New Roman" w:cs="Times New Roman"/>
          <w:lang w:val="en-US"/>
        </w:rPr>
        <w:t xml:space="preserve"> and 3.9% </w:t>
      </w:r>
      <w:r w:rsidRPr="004F2B59">
        <w:rPr>
          <w:rFonts w:ascii="Times New Roman" w:hAnsi="Times New Roman" w:cs="Times New Roman"/>
          <w:lang w:val="en-US"/>
        </w:rPr>
        <w:t>of urban</w:t>
      </w:r>
      <w:r w:rsidR="00DC2602" w:rsidRPr="004F2B59">
        <w:rPr>
          <w:rFonts w:ascii="Times New Roman" w:hAnsi="Times New Roman" w:cs="Times New Roman"/>
          <w:lang w:val="en-US"/>
        </w:rPr>
        <w:t xml:space="preserve"> and rural </w:t>
      </w:r>
      <w:r w:rsidRPr="004F2B59">
        <w:rPr>
          <w:rFonts w:ascii="Times New Roman" w:hAnsi="Times New Roman" w:cs="Times New Roman"/>
          <w:lang w:val="en-US"/>
        </w:rPr>
        <w:lastRenderedPageBreak/>
        <w:t>women respondents</w:t>
      </w:r>
      <w:r w:rsidR="00DC2602" w:rsidRPr="004F2B59">
        <w:rPr>
          <w:rFonts w:ascii="Times New Roman" w:hAnsi="Times New Roman" w:cs="Times New Roman"/>
          <w:lang w:val="en-US"/>
        </w:rPr>
        <w:t xml:space="preserve"> respectively</w:t>
      </w:r>
      <w:r w:rsidRPr="004F2B59">
        <w:rPr>
          <w:rFonts w:ascii="Times New Roman" w:hAnsi="Times New Roman" w:cs="Times New Roman"/>
          <w:lang w:val="en-US"/>
        </w:rPr>
        <w:t xml:space="preserve"> admitted to having their first consensual sexual encounter between the age of 15-19.</w:t>
      </w:r>
      <w:r w:rsidRPr="004F2B59">
        <w:rPr>
          <w:rStyle w:val="FootnoteReference"/>
          <w:rFonts w:ascii="Times New Roman" w:hAnsi="Times New Roman" w:cs="Times New Roman"/>
          <w:lang w:val="en-US"/>
        </w:rPr>
        <w:footnoteReference w:id="59"/>
      </w:r>
    </w:p>
    <w:p w:rsidR="009710C3" w:rsidRDefault="001D50D0"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Thus, this report along with the NFHS-3 and NFHS-4 reports </w:t>
      </w:r>
      <w:r w:rsidR="0026204A" w:rsidRPr="004F2B59">
        <w:rPr>
          <w:rFonts w:ascii="Times New Roman" w:hAnsi="Times New Roman" w:cs="Times New Roman"/>
          <w:lang w:val="en-US"/>
        </w:rPr>
        <w:t>not only</w:t>
      </w:r>
      <w:r w:rsidRPr="004F2B59">
        <w:rPr>
          <w:rFonts w:ascii="Times New Roman" w:hAnsi="Times New Roman" w:cs="Times New Roman"/>
          <w:lang w:val="en-US"/>
        </w:rPr>
        <w:t xml:space="preserve"> depicts the prevalence of pre-marital sexual relationships in adolescents in India</w:t>
      </w:r>
      <w:r w:rsidR="0026204A" w:rsidRPr="004F2B59">
        <w:rPr>
          <w:rFonts w:ascii="Times New Roman" w:hAnsi="Times New Roman" w:cs="Times New Roman"/>
          <w:lang w:val="en-US"/>
        </w:rPr>
        <w:t xml:space="preserve">but also indicates that such </w:t>
      </w:r>
      <w:r w:rsidR="0049247F" w:rsidRPr="004F2B59">
        <w:rPr>
          <w:rFonts w:ascii="Times New Roman" w:hAnsi="Times New Roman" w:cs="Times New Roman"/>
          <w:lang w:val="en-US"/>
        </w:rPr>
        <w:t>sexual relations</w:t>
      </w:r>
      <w:r w:rsidR="0026204A" w:rsidRPr="004F2B59">
        <w:rPr>
          <w:rFonts w:ascii="Times New Roman" w:hAnsi="Times New Roman" w:cs="Times New Roman"/>
          <w:lang w:val="en-US"/>
        </w:rPr>
        <w:t xml:space="preserve"> are</w:t>
      </w:r>
      <w:r w:rsidR="0049247F" w:rsidRPr="004F2B59">
        <w:rPr>
          <w:rFonts w:ascii="Times New Roman" w:hAnsi="Times New Roman" w:cs="Times New Roman"/>
          <w:lang w:val="en-US"/>
        </w:rPr>
        <w:t xml:space="preserve"> more prevalent in the rural yout</w:t>
      </w:r>
      <w:r w:rsidR="0026204A" w:rsidRPr="004F2B59">
        <w:rPr>
          <w:rFonts w:ascii="Times New Roman" w:hAnsi="Times New Roman" w:cs="Times New Roman"/>
          <w:lang w:val="en-US"/>
        </w:rPr>
        <w:t xml:space="preserve">h than their urban counterparts. A very clear hesitation on the part </w:t>
      </w:r>
      <w:r w:rsidR="00C552B5" w:rsidRPr="004F2B59">
        <w:rPr>
          <w:rFonts w:ascii="Times New Roman" w:hAnsi="Times New Roman" w:cs="Times New Roman"/>
          <w:lang w:val="en-US"/>
        </w:rPr>
        <w:t>of the</w:t>
      </w:r>
      <w:r w:rsidRPr="004F2B59">
        <w:rPr>
          <w:rFonts w:ascii="Times New Roman" w:hAnsi="Times New Roman" w:cs="Times New Roman"/>
          <w:lang w:val="en-US"/>
        </w:rPr>
        <w:t xml:space="preserve">female respondents </w:t>
      </w:r>
      <w:r w:rsidR="0026204A" w:rsidRPr="004F2B59">
        <w:rPr>
          <w:rFonts w:ascii="Times New Roman" w:hAnsi="Times New Roman" w:cs="Times New Roman"/>
          <w:lang w:val="en-US"/>
        </w:rPr>
        <w:t xml:space="preserve">in </w:t>
      </w:r>
      <w:r w:rsidRPr="004F2B59">
        <w:rPr>
          <w:rFonts w:ascii="Times New Roman" w:hAnsi="Times New Roman" w:cs="Times New Roman"/>
          <w:lang w:val="en-US"/>
        </w:rPr>
        <w:t>revealing about their sexual experiences at such a young age</w:t>
      </w:r>
      <w:r w:rsidR="0026204A" w:rsidRPr="004F2B59">
        <w:rPr>
          <w:rFonts w:ascii="Times New Roman" w:hAnsi="Times New Roman" w:cs="Times New Roman"/>
          <w:lang w:val="en-US"/>
        </w:rPr>
        <w:t xml:space="preserve"> can also be noticed </w:t>
      </w:r>
      <w:r w:rsidR="00C552B5" w:rsidRPr="004F2B59">
        <w:rPr>
          <w:rFonts w:ascii="Times New Roman" w:hAnsi="Times New Roman" w:cs="Times New Roman"/>
          <w:lang w:val="en-US"/>
        </w:rPr>
        <w:t>on the</w:t>
      </w:r>
      <w:r w:rsidR="0026204A" w:rsidRPr="004F2B59">
        <w:rPr>
          <w:rFonts w:ascii="Times New Roman" w:hAnsi="Times New Roman" w:cs="Times New Roman"/>
          <w:lang w:val="en-US"/>
        </w:rPr>
        <w:t xml:space="preserve"> careful perusal of </w:t>
      </w:r>
      <w:r w:rsidR="00B84747" w:rsidRPr="004F2B59">
        <w:rPr>
          <w:rFonts w:ascii="Times New Roman" w:hAnsi="Times New Roman" w:cs="Times New Roman"/>
          <w:lang w:val="en-US"/>
        </w:rPr>
        <w:t xml:space="preserve">the </w:t>
      </w:r>
      <w:r w:rsidR="009D7C87" w:rsidRPr="004F2B59">
        <w:rPr>
          <w:rFonts w:ascii="Times New Roman" w:hAnsi="Times New Roman" w:cs="Times New Roman"/>
          <w:lang w:val="en-US"/>
        </w:rPr>
        <w:t>above-mentioned</w:t>
      </w:r>
      <w:r w:rsidR="0026204A" w:rsidRPr="004F2B59">
        <w:rPr>
          <w:rFonts w:ascii="Times New Roman" w:hAnsi="Times New Roman" w:cs="Times New Roman"/>
          <w:lang w:val="en-US"/>
        </w:rPr>
        <w:t xml:space="preserve"> studies and their reports which </w:t>
      </w:r>
      <w:r w:rsidR="00A667B2" w:rsidRPr="004F2B59">
        <w:rPr>
          <w:rFonts w:ascii="Times New Roman" w:hAnsi="Times New Roman" w:cs="Times New Roman"/>
          <w:lang w:val="en-US"/>
        </w:rPr>
        <w:t>probably may</w:t>
      </w:r>
      <w:r w:rsidR="009D7C87" w:rsidRPr="004F2B59">
        <w:rPr>
          <w:rFonts w:ascii="Times New Roman" w:hAnsi="Times New Roman" w:cs="Times New Roman"/>
          <w:lang w:val="en-US"/>
        </w:rPr>
        <w:t>be due</w:t>
      </w:r>
      <w:r w:rsidR="0026204A" w:rsidRPr="004F2B59">
        <w:rPr>
          <w:rFonts w:ascii="Times New Roman" w:hAnsi="Times New Roman" w:cs="Times New Roman"/>
          <w:lang w:val="en-US"/>
        </w:rPr>
        <w:t xml:space="preserve"> to the stigma attached to their sexuality</w:t>
      </w:r>
      <w:r w:rsidR="00A667B2" w:rsidRPr="004F2B59">
        <w:rPr>
          <w:rFonts w:ascii="Times New Roman" w:hAnsi="Times New Roman" w:cs="Times New Roman"/>
          <w:lang w:val="en-US"/>
        </w:rPr>
        <w:t>.</w:t>
      </w:r>
    </w:p>
    <w:p w:rsidR="00137844" w:rsidRPr="004F2B59" w:rsidRDefault="00137844" w:rsidP="004F2B59">
      <w:pPr>
        <w:spacing w:after="0" w:line="320" w:lineRule="exact"/>
        <w:ind w:firstLine="432"/>
        <w:jc w:val="both"/>
        <w:rPr>
          <w:rFonts w:ascii="Times New Roman" w:hAnsi="Times New Roman" w:cs="Times New Roman"/>
          <w:lang w:val="en-US"/>
        </w:rPr>
      </w:pPr>
    </w:p>
    <w:p w:rsidR="000A5FA8" w:rsidRPr="004F2B59" w:rsidRDefault="00E20890" w:rsidP="004F2B59">
      <w:pPr>
        <w:pStyle w:val="ListParagraph"/>
        <w:numPr>
          <w:ilvl w:val="0"/>
          <w:numId w:val="9"/>
        </w:numPr>
        <w:spacing w:after="0" w:line="320" w:lineRule="exact"/>
        <w:ind w:left="0" w:firstLine="432"/>
        <w:contextualSpacing w:val="0"/>
        <w:jc w:val="both"/>
        <w:rPr>
          <w:rFonts w:ascii="Times New Roman" w:hAnsi="Times New Roman" w:cs="Times New Roman"/>
          <w:b/>
          <w:bCs/>
          <w:lang w:val="en-US"/>
        </w:rPr>
      </w:pPr>
      <w:r w:rsidRPr="004F2B59">
        <w:rPr>
          <w:rFonts w:ascii="Times New Roman" w:hAnsi="Times New Roman" w:cs="Times New Roman"/>
          <w:b/>
          <w:bCs/>
          <w:lang w:val="en-US"/>
        </w:rPr>
        <w:t>POCSO Act</w:t>
      </w:r>
      <w:r w:rsidR="00E4775D" w:rsidRPr="004F2B59">
        <w:rPr>
          <w:rFonts w:ascii="Times New Roman" w:hAnsi="Times New Roman" w:cs="Times New Roman"/>
          <w:b/>
          <w:bCs/>
          <w:lang w:val="en-US"/>
        </w:rPr>
        <w:t xml:space="preserve"> and the romantic/adolescent </w:t>
      </w:r>
      <w:r w:rsidRPr="004F2B59">
        <w:rPr>
          <w:rFonts w:ascii="Times New Roman" w:hAnsi="Times New Roman" w:cs="Times New Roman"/>
          <w:b/>
          <w:bCs/>
          <w:lang w:val="en-US"/>
        </w:rPr>
        <w:t>relationships</w:t>
      </w:r>
      <w:r w:rsidR="00D70A9F" w:rsidRPr="004F2B59">
        <w:rPr>
          <w:rFonts w:ascii="Times New Roman" w:hAnsi="Times New Roman" w:cs="Times New Roman"/>
          <w:b/>
          <w:bCs/>
          <w:lang w:val="en-US"/>
        </w:rPr>
        <w:t>:</w:t>
      </w:r>
      <w:r w:rsidR="000A5FA8" w:rsidRPr="004F2B59">
        <w:rPr>
          <w:rFonts w:ascii="Times New Roman" w:hAnsi="Times New Roman" w:cs="Times New Roman"/>
          <w:b/>
          <w:bCs/>
          <w:lang w:val="en-US"/>
        </w:rPr>
        <w:t xml:space="preserve"> Need to revisit Close-in-Age Exception in India</w:t>
      </w:r>
    </w:p>
    <w:p w:rsidR="00C7673E" w:rsidRPr="004F2B59" w:rsidRDefault="0034229D"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w:t>
      </w:r>
      <w:r w:rsidR="002340F2" w:rsidRPr="004F2B59">
        <w:rPr>
          <w:rFonts w:ascii="Times New Roman" w:hAnsi="Times New Roman" w:cs="Times New Roman"/>
          <w:lang w:val="en-US"/>
        </w:rPr>
        <w:t xml:space="preserve">edebate in </w:t>
      </w:r>
      <w:r w:rsidR="00EB7FEA" w:rsidRPr="004F2B59">
        <w:rPr>
          <w:rFonts w:ascii="Times New Roman" w:hAnsi="Times New Roman" w:cs="Times New Roman"/>
          <w:lang w:val="en-US"/>
        </w:rPr>
        <w:t>favor</w:t>
      </w:r>
      <w:r w:rsidRPr="004F2B59">
        <w:rPr>
          <w:rFonts w:ascii="Times New Roman" w:hAnsi="Times New Roman" w:cs="Times New Roman"/>
          <w:lang w:val="en-US"/>
        </w:rPr>
        <w:t xml:space="preserve"> of reducing the age of consent in India has been the subject of discussion since some time now. </w:t>
      </w:r>
      <w:r w:rsidR="00EB7FEA" w:rsidRPr="004F2B59">
        <w:rPr>
          <w:rFonts w:ascii="Times New Roman" w:hAnsi="Times New Roman" w:cs="Times New Roman"/>
          <w:lang w:val="en-US"/>
        </w:rPr>
        <w:t xml:space="preserve">There have been suggestions for looking at </w:t>
      </w:r>
      <w:r w:rsidR="00EB7FEA" w:rsidRPr="004F2B59">
        <w:rPr>
          <w:rFonts w:ascii="Times New Roman" w:hAnsi="Times New Roman" w:cs="Times New Roman"/>
          <w:i/>
          <w:iCs/>
          <w:lang w:val="en-US"/>
        </w:rPr>
        <w:t xml:space="preserve">close-in-age exception </w:t>
      </w:r>
      <w:r w:rsidR="00EB7FEA" w:rsidRPr="004F2B59">
        <w:rPr>
          <w:rFonts w:ascii="Times New Roman" w:hAnsi="Times New Roman" w:cs="Times New Roman"/>
          <w:lang w:val="en-US"/>
        </w:rPr>
        <w:t>as a possible solution to the issue which is recognized</w:t>
      </w:r>
      <w:r w:rsidR="007F410C" w:rsidRPr="004F2B59">
        <w:rPr>
          <w:rFonts w:ascii="Times New Roman" w:hAnsi="Times New Roman" w:cs="Times New Roman"/>
          <w:lang w:val="en-US"/>
        </w:rPr>
        <w:t xml:space="preserve"> in </w:t>
      </w:r>
      <w:r w:rsidR="00EB7FEA" w:rsidRPr="004F2B59">
        <w:rPr>
          <w:rFonts w:ascii="Times New Roman" w:hAnsi="Times New Roman" w:cs="Times New Roman"/>
          <w:lang w:val="en-US"/>
        </w:rPr>
        <w:t xml:space="preserve">several </w:t>
      </w:r>
      <w:r w:rsidR="007F410C" w:rsidRPr="004F2B59">
        <w:rPr>
          <w:rFonts w:ascii="Times New Roman" w:hAnsi="Times New Roman" w:cs="Times New Roman"/>
          <w:lang w:val="en-US"/>
        </w:rPr>
        <w:t>Europe</w:t>
      </w:r>
      <w:r w:rsidR="00EB7FEA" w:rsidRPr="004F2B59">
        <w:rPr>
          <w:rFonts w:ascii="Times New Roman" w:hAnsi="Times New Roman" w:cs="Times New Roman"/>
          <w:lang w:val="en-US"/>
        </w:rPr>
        <w:t>an nations, South Africa, Canada and known as</w:t>
      </w:r>
      <w:r w:rsidR="007F410C" w:rsidRPr="004F2B59">
        <w:rPr>
          <w:rFonts w:ascii="Times New Roman" w:hAnsi="Times New Roman" w:cs="Times New Roman"/>
          <w:i/>
          <w:iCs/>
          <w:lang w:val="en-US"/>
        </w:rPr>
        <w:t xml:space="preserve">Romeo-Juliet </w:t>
      </w:r>
      <w:r w:rsidR="007F410C" w:rsidRPr="004F2B59">
        <w:rPr>
          <w:rFonts w:ascii="Times New Roman" w:hAnsi="Times New Roman" w:cs="Times New Roman"/>
          <w:lang w:val="en-US"/>
        </w:rPr>
        <w:t xml:space="preserve">laws in the United States of America. </w:t>
      </w:r>
      <w:r w:rsidR="00EB7FEA" w:rsidRPr="004F2B59">
        <w:rPr>
          <w:rFonts w:ascii="Times New Roman" w:hAnsi="Times New Roman" w:cs="Times New Roman"/>
          <w:lang w:val="en-US"/>
        </w:rPr>
        <w:t>This exception provides immunity from criminal liability to consenting adolescents involved in sexual relationships below the age of majority</w:t>
      </w:r>
      <w:r w:rsidR="007F410C" w:rsidRPr="004F2B59">
        <w:rPr>
          <w:rFonts w:ascii="Times New Roman" w:hAnsi="Times New Roman" w:cs="Times New Roman"/>
          <w:lang w:val="en-US"/>
        </w:rPr>
        <w:t xml:space="preserve"> provided there was not a significant age gap between the two individuals involved.</w:t>
      </w:r>
      <w:r w:rsidR="00C7673E" w:rsidRPr="004F2B59">
        <w:rPr>
          <w:rFonts w:ascii="Times New Roman" w:hAnsi="Times New Roman" w:cs="Times New Roman"/>
          <w:lang w:val="en-US"/>
        </w:rPr>
        <w:t xml:space="preserve"> We can understand this concept with the help of an example from Canada. The Age of consent, according to the Canadian Criminal Code is 16 years.</w:t>
      </w:r>
      <w:r w:rsidR="00C7673E" w:rsidRPr="004F2B59">
        <w:rPr>
          <w:rStyle w:val="FootnoteReference"/>
          <w:rFonts w:ascii="Times New Roman" w:hAnsi="Times New Roman" w:cs="Times New Roman"/>
          <w:lang w:val="en-US"/>
        </w:rPr>
        <w:footnoteReference w:id="60"/>
      </w:r>
      <w:r w:rsidR="00C7673E" w:rsidRPr="004F2B59">
        <w:rPr>
          <w:rFonts w:ascii="Times New Roman" w:hAnsi="Times New Roman" w:cs="Times New Roman"/>
          <w:lang w:val="en-US"/>
        </w:rPr>
        <w:t xml:space="preserve"> The age was raised from 14 years to 16 years in the year 2008 to address the online luring away of teenagers.</w:t>
      </w:r>
      <w:r w:rsidR="00C7673E" w:rsidRPr="004F2B59">
        <w:rPr>
          <w:rStyle w:val="FootnoteReference"/>
          <w:rFonts w:ascii="Times New Roman" w:hAnsi="Times New Roman" w:cs="Times New Roman"/>
          <w:lang w:val="en-US"/>
        </w:rPr>
        <w:footnoteReference w:id="61"/>
      </w:r>
      <w:r w:rsidR="00C7673E" w:rsidRPr="004F2B59">
        <w:rPr>
          <w:rFonts w:ascii="Times New Roman" w:hAnsi="Times New Roman" w:cs="Times New Roman"/>
          <w:lang w:val="en-US"/>
        </w:rPr>
        <w:t xml:space="preserve"> The Canadian law provides for a close-in-age exception under two categories, </w:t>
      </w:r>
      <w:r w:rsidR="00C7673E" w:rsidRPr="004F2B59">
        <w:rPr>
          <w:rFonts w:ascii="Times New Roman" w:hAnsi="Times New Roman" w:cs="Times New Roman"/>
          <w:i/>
          <w:iCs/>
          <w:lang w:val="en-US"/>
        </w:rPr>
        <w:t xml:space="preserve">firstly </w:t>
      </w:r>
      <w:r w:rsidR="00C7673E" w:rsidRPr="004F2B59">
        <w:rPr>
          <w:rFonts w:ascii="Times New Roman" w:hAnsi="Times New Roman" w:cs="Times New Roman"/>
          <w:lang w:val="en-US"/>
        </w:rPr>
        <w:t xml:space="preserve">when the age of the younger party is between 12-14 years but the accused </w:t>
      </w:r>
      <w:r w:rsidR="00461555" w:rsidRPr="004F2B59">
        <w:rPr>
          <w:rFonts w:ascii="Times New Roman" w:hAnsi="Times New Roman" w:cs="Times New Roman"/>
          <w:lang w:val="en-US"/>
        </w:rPr>
        <w:t>is less than two years older.</w:t>
      </w:r>
      <w:r w:rsidR="00C7673E" w:rsidRPr="004F2B59">
        <w:rPr>
          <w:rStyle w:val="FootnoteReference"/>
          <w:rFonts w:ascii="Times New Roman" w:hAnsi="Times New Roman" w:cs="Times New Roman"/>
        </w:rPr>
        <w:footnoteReference w:id="62"/>
      </w:r>
      <w:r w:rsidR="00461555" w:rsidRPr="004F2B59">
        <w:rPr>
          <w:rFonts w:ascii="Times New Roman" w:hAnsi="Times New Roman" w:cs="Times New Roman"/>
          <w:lang w:val="en-US"/>
        </w:rPr>
        <w:t xml:space="preserve"> And </w:t>
      </w:r>
      <w:r w:rsidR="00461555" w:rsidRPr="004F2B59">
        <w:rPr>
          <w:rFonts w:ascii="Times New Roman" w:hAnsi="Times New Roman" w:cs="Times New Roman"/>
          <w:i/>
          <w:iCs/>
          <w:lang w:val="en-US"/>
        </w:rPr>
        <w:t xml:space="preserve">secondly, </w:t>
      </w:r>
      <w:r w:rsidR="00461555" w:rsidRPr="004F2B59">
        <w:rPr>
          <w:rFonts w:ascii="Times New Roman" w:hAnsi="Times New Roman" w:cs="Times New Roman"/>
          <w:lang w:val="en-US"/>
        </w:rPr>
        <w:t xml:space="preserve">when the younger party is between 14-16 years but the accused less than five </w:t>
      </w:r>
      <w:r w:rsidR="00461555" w:rsidRPr="004F2B59">
        <w:rPr>
          <w:rFonts w:ascii="Times New Roman" w:hAnsi="Times New Roman" w:cs="Times New Roman"/>
          <w:lang w:val="en-US"/>
        </w:rPr>
        <w:lastRenderedPageBreak/>
        <w:t>years older.</w:t>
      </w:r>
      <w:r w:rsidR="00C7673E" w:rsidRPr="004F2B59">
        <w:rPr>
          <w:rStyle w:val="FootnoteReference"/>
          <w:rFonts w:ascii="Times New Roman" w:hAnsi="Times New Roman" w:cs="Times New Roman"/>
        </w:rPr>
        <w:footnoteReference w:id="63"/>
      </w:r>
      <w:r w:rsidR="00461555" w:rsidRPr="004F2B59">
        <w:rPr>
          <w:rFonts w:ascii="Times New Roman" w:hAnsi="Times New Roman" w:cs="Times New Roman"/>
          <w:lang w:val="en-US"/>
        </w:rPr>
        <w:t xml:space="preserve"> Even though, the legal age of consent in Canada is 16 years, the law provides an exception that where consent of a person less than 16 years old is considered legally valid</w:t>
      </w:r>
      <w:r w:rsidR="00C7673E" w:rsidRPr="004F2B59">
        <w:rPr>
          <w:rFonts w:ascii="Times New Roman" w:hAnsi="Times New Roman" w:cs="Times New Roman"/>
          <w:lang w:val="en-US"/>
        </w:rPr>
        <w:t>.</w:t>
      </w:r>
      <w:r w:rsidR="00461555" w:rsidRPr="004F2B59">
        <w:rPr>
          <w:rFonts w:ascii="Times New Roman" w:hAnsi="Times New Roman" w:cs="Times New Roman"/>
          <w:lang w:val="en-US"/>
        </w:rPr>
        <w:t xml:space="preserve"> Similar provisions are present in aforementioned countries as well.</w:t>
      </w:r>
    </w:p>
    <w:p w:rsidR="00CB1980" w:rsidRPr="004F2B59" w:rsidRDefault="007F410C" w:rsidP="004F2B59">
      <w:pPr>
        <w:spacing w:after="0" w:line="320" w:lineRule="exact"/>
        <w:ind w:firstLine="432"/>
        <w:jc w:val="both"/>
        <w:rPr>
          <w:rFonts w:ascii="Times New Roman" w:hAnsi="Times New Roman" w:cs="Times New Roman"/>
          <w:b/>
          <w:bCs/>
          <w:lang w:val="en-US"/>
        </w:rPr>
      </w:pPr>
      <w:r w:rsidRPr="004F2B59">
        <w:rPr>
          <w:rFonts w:ascii="Times New Roman" w:hAnsi="Times New Roman" w:cs="Times New Roman"/>
          <w:lang w:val="en-US"/>
        </w:rPr>
        <w:t>However</w:t>
      </w:r>
      <w:r w:rsidR="00CB1980" w:rsidRPr="004F2B59">
        <w:rPr>
          <w:rFonts w:ascii="Times New Roman" w:hAnsi="Times New Roman" w:cs="Times New Roman"/>
          <w:lang w:val="en-US"/>
        </w:rPr>
        <w:t xml:space="preserve">, in context of </w:t>
      </w:r>
      <w:r w:rsidR="00E20890" w:rsidRPr="004F2B59">
        <w:rPr>
          <w:rFonts w:ascii="Times New Roman" w:hAnsi="Times New Roman" w:cs="Times New Roman"/>
          <w:lang w:val="en-US"/>
        </w:rPr>
        <w:t>India in</w:t>
      </w:r>
      <w:r w:rsidRPr="004F2B59">
        <w:rPr>
          <w:rFonts w:ascii="Times New Roman" w:hAnsi="Times New Roman" w:cs="Times New Roman"/>
          <w:lang w:val="en-US"/>
        </w:rPr>
        <w:t xml:space="preserve"> view of</w:t>
      </w:r>
      <w:r w:rsidR="004447B5" w:rsidRPr="004F2B59">
        <w:rPr>
          <w:rFonts w:ascii="Times New Roman" w:hAnsi="Times New Roman" w:cs="Times New Roman"/>
          <w:lang w:val="en-US"/>
        </w:rPr>
        <w:t>asymmetrical</w:t>
      </w:r>
      <w:r w:rsidR="00CB1980" w:rsidRPr="004F2B59">
        <w:rPr>
          <w:rFonts w:ascii="Times New Roman" w:hAnsi="Times New Roman" w:cs="Times New Roman"/>
          <w:lang w:val="en-US"/>
        </w:rPr>
        <w:t xml:space="preserve"> approach adopted by </w:t>
      </w:r>
      <w:r w:rsidR="00CB1980" w:rsidRPr="004F2B59">
        <w:rPr>
          <w:rFonts w:ascii="Times New Roman" w:hAnsi="Times New Roman" w:cs="Times New Roman"/>
          <w:bCs/>
          <w:lang w:val="en-US"/>
        </w:rPr>
        <w:t xml:space="preserve">POCSO Special Courts in the </w:t>
      </w:r>
      <w:r w:rsidR="00CB1980" w:rsidRPr="004F2B59">
        <w:rPr>
          <w:rFonts w:ascii="Times New Roman" w:hAnsi="Times New Roman" w:cs="Times New Roman"/>
          <w:lang w:val="en-US"/>
        </w:rPr>
        <w:t xml:space="preserve">application and interpretation </w:t>
      </w:r>
      <w:r w:rsidR="004447B5" w:rsidRPr="004F2B59">
        <w:rPr>
          <w:rFonts w:ascii="Times New Roman" w:hAnsi="Times New Roman" w:cs="Times New Roman"/>
          <w:lang w:val="en-US"/>
        </w:rPr>
        <w:t>of POCSO</w:t>
      </w:r>
      <w:r w:rsidR="00CB1980" w:rsidRPr="004F2B59">
        <w:rPr>
          <w:rFonts w:ascii="Times New Roman" w:hAnsi="Times New Roman" w:cs="Times New Roman"/>
          <w:bCs/>
          <w:lang w:val="en-US"/>
        </w:rPr>
        <w:t xml:space="preserve"> with respect </w:t>
      </w:r>
      <w:r w:rsidRPr="004F2B59">
        <w:rPr>
          <w:rFonts w:ascii="Times New Roman" w:hAnsi="Times New Roman" w:cs="Times New Roman"/>
          <w:bCs/>
          <w:lang w:val="en-US"/>
        </w:rPr>
        <w:t xml:space="preserve">to </w:t>
      </w:r>
      <w:r w:rsidR="004447B5" w:rsidRPr="004F2B59">
        <w:rPr>
          <w:rFonts w:ascii="Times New Roman" w:hAnsi="Times New Roman" w:cs="Times New Roman"/>
          <w:bCs/>
          <w:lang w:val="en-US"/>
        </w:rPr>
        <w:t>r</w:t>
      </w:r>
      <w:r w:rsidRPr="004F2B59">
        <w:rPr>
          <w:rFonts w:ascii="Times New Roman" w:hAnsi="Times New Roman" w:cs="Times New Roman"/>
          <w:bCs/>
          <w:lang w:val="en-US"/>
        </w:rPr>
        <w:t xml:space="preserve">omantic Relationships </w:t>
      </w:r>
      <w:r w:rsidR="00CB1980" w:rsidRPr="004F2B59">
        <w:rPr>
          <w:rFonts w:ascii="Times New Roman" w:hAnsi="Times New Roman" w:cs="Times New Roman"/>
          <w:bCs/>
          <w:lang w:val="en-US"/>
        </w:rPr>
        <w:t xml:space="preserve">and the potential misuse of the enactment in such cases, it become imperative to </w:t>
      </w:r>
      <w:r w:rsidR="00C7673E" w:rsidRPr="004F2B59">
        <w:rPr>
          <w:rFonts w:ascii="Times New Roman" w:hAnsi="Times New Roman" w:cs="Times New Roman"/>
          <w:bCs/>
          <w:lang w:val="en-US"/>
        </w:rPr>
        <w:t>examine the</w:t>
      </w:r>
      <w:r w:rsidR="00CB1980" w:rsidRPr="004F2B59">
        <w:rPr>
          <w:rFonts w:ascii="Times New Roman" w:hAnsi="Times New Roman" w:cs="Times New Roman"/>
          <w:bCs/>
          <w:lang w:val="en-US"/>
        </w:rPr>
        <w:t xml:space="preserve"> Close-in-Age Exception in India to </w:t>
      </w:r>
      <w:r w:rsidR="00CB1980" w:rsidRPr="004F2B59">
        <w:rPr>
          <w:rFonts w:ascii="Times New Roman" w:hAnsi="Times New Roman" w:cs="Times New Roman"/>
        </w:rPr>
        <w:t xml:space="preserve">ensure that the application of POCSO does not inadvertently harm the very individuals it is meant to protect. </w:t>
      </w:r>
      <w:r w:rsidR="004447B5" w:rsidRPr="004F2B59">
        <w:rPr>
          <w:rFonts w:ascii="Times New Roman" w:hAnsi="Times New Roman" w:cs="Times New Roman"/>
          <w:lang w:val="en-US"/>
        </w:rPr>
        <w:t>There might be a suggestion from a section of society that if there is an issue regarding the age of consent, why differentiate between the age of consent with the age of marriage. However, it is contended doing so would not just be principally flawed but also but also dangerous due to weaponization of parental backlash. It is ironic that the entire discourse on child marriage wants strict action against underage marriages while disengaging completely from the criminalization against the age of consent which is as high as the minimum age of marriage.</w:t>
      </w:r>
      <w:r w:rsidR="004447B5" w:rsidRPr="004F2B59">
        <w:rPr>
          <w:rStyle w:val="FootnoteReference"/>
          <w:rFonts w:ascii="Times New Roman" w:hAnsi="Times New Roman" w:cs="Times New Roman"/>
          <w:lang w:val="en-US"/>
        </w:rPr>
        <w:footnoteReference w:id="64"/>
      </w:r>
      <w:r w:rsidR="004447B5" w:rsidRPr="004F2B59">
        <w:rPr>
          <w:rFonts w:ascii="Times New Roman" w:hAnsi="Times New Roman" w:cs="Times New Roman"/>
          <w:lang w:val="en-US"/>
        </w:rPr>
        <w:t xml:space="preserve"> It must be understood that the UNCRC mandates the </w:t>
      </w:r>
      <w:r w:rsidR="004447B5" w:rsidRPr="004F2B59">
        <w:rPr>
          <w:rFonts w:ascii="Times New Roman" w:hAnsi="Times New Roman" w:cs="Times New Roman"/>
          <w:i/>
          <w:iCs/>
          <w:lang w:val="en-US"/>
        </w:rPr>
        <w:t>best interest of the child</w:t>
      </w:r>
      <w:r w:rsidR="004447B5" w:rsidRPr="004F2B59">
        <w:rPr>
          <w:rStyle w:val="FootnoteReference"/>
          <w:rFonts w:ascii="Times New Roman" w:hAnsi="Times New Roman" w:cs="Times New Roman"/>
          <w:lang w:val="en-US"/>
        </w:rPr>
        <w:footnoteReference w:id="65"/>
      </w:r>
      <w:r w:rsidR="004447B5" w:rsidRPr="004F2B59">
        <w:rPr>
          <w:rFonts w:ascii="Times New Roman" w:hAnsi="Times New Roman" w:cs="Times New Roman"/>
          <w:lang w:val="en-US"/>
        </w:rPr>
        <w:t xml:space="preserve"> to be kept in mind while formulating laws and policies along with respecting the </w:t>
      </w:r>
      <w:r w:rsidR="004447B5" w:rsidRPr="004F2B59">
        <w:rPr>
          <w:rFonts w:ascii="Times New Roman" w:hAnsi="Times New Roman" w:cs="Times New Roman"/>
          <w:i/>
          <w:iCs/>
          <w:lang w:val="en-US"/>
        </w:rPr>
        <w:t>evolving capacities of the child.</w:t>
      </w:r>
      <w:r w:rsidR="004447B5" w:rsidRPr="004F2B59">
        <w:rPr>
          <w:rStyle w:val="FootnoteReference"/>
          <w:rFonts w:ascii="Times New Roman" w:hAnsi="Times New Roman" w:cs="Times New Roman"/>
          <w:i/>
          <w:iCs/>
          <w:lang w:val="en-US"/>
        </w:rPr>
        <w:footnoteReference w:id="66"/>
      </w:r>
      <w:r w:rsidR="004447B5" w:rsidRPr="004F2B59">
        <w:rPr>
          <w:rFonts w:ascii="Times New Roman" w:hAnsi="Times New Roman" w:cs="Times New Roman"/>
          <w:lang w:val="en-US"/>
        </w:rPr>
        <w:t xml:space="preserve"> However, an increase in the age of consent from 16 years to 18 years is a direct contravention of the UNCRC’s mandate which characterizes adolescence as a distinct phase of development of a child into an adult.</w:t>
      </w:r>
      <w:r w:rsidR="004447B5" w:rsidRPr="004F2B59">
        <w:rPr>
          <w:rStyle w:val="FootnoteReference"/>
          <w:rFonts w:ascii="Times New Roman" w:hAnsi="Times New Roman" w:cs="Times New Roman"/>
          <w:lang w:val="en-US"/>
        </w:rPr>
        <w:footnoteReference w:id="67"/>
      </w:r>
    </w:p>
    <w:p w:rsidR="00D30DD9" w:rsidRPr="004F2B59" w:rsidRDefault="007F410C" w:rsidP="004F2B59">
      <w:pPr>
        <w:spacing w:after="0" w:line="320" w:lineRule="exact"/>
        <w:ind w:firstLine="432"/>
        <w:jc w:val="both"/>
        <w:rPr>
          <w:rFonts w:ascii="Times New Roman" w:hAnsi="Times New Roman" w:cs="Times New Roman"/>
          <w:b/>
          <w:bCs/>
          <w:lang w:val="en-US"/>
        </w:rPr>
      </w:pPr>
      <w:r w:rsidRPr="004F2B59">
        <w:rPr>
          <w:rFonts w:ascii="Times New Roman" w:hAnsi="Times New Roman" w:cs="Times New Roman"/>
          <w:b/>
          <w:bCs/>
          <w:lang w:val="en-US"/>
        </w:rPr>
        <w:lastRenderedPageBreak/>
        <w:t xml:space="preserve">3.1 </w:t>
      </w:r>
      <w:r w:rsidR="00E4775D" w:rsidRPr="004F2B59">
        <w:rPr>
          <w:rFonts w:ascii="Times New Roman" w:hAnsi="Times New Roman" w:cs="Times New Roman"/>
          <w:b/>
          <w:bCs/>
          <w:lang w:val="en-US"/>
        </w:rPr>
        <w:t xml:space="preserve">Implementation of POCSO to Romantic Relationships </w:t>
      </w:r>
      <w:r w:rsidR="00E20890" w:rsidRPr="004F2B59">
        <w:rPr>
          <w:rFonts w:ascii="Times New Roman" w:hAnsi="Times New Roman" w:cs="Times New Roman"/>
          <w:b/>
          <w:bCs/>
          <w:lang w:val="en-US"/>
        </w:rPr>
        <w:t>by POCSO</w:t>
      </w:r>
      <w:r w:rsidR="00D30DD9" w:rsidRPr="004F2B59">
        <w:rPr>
          <w:rFonts w:ascii="Times New Roman" w:hAnsi="Times New Roman" w:cs="Times New Roman"/>
          <w:b/>
          <w:bCs/>
          <w:lang w:val="en-US"/>
        </w:rPr>
        <w:t xml:space="preserve"> Special Court</w:t>
      </w:r>
      <w:r w:rsidR="002A059C" w:rsidRPr="004F2B59">
        <w:rPr>
          <w:rFonts w:ascii="Times New Roman" w:hAnsi="Times New Roman" w:cs="Times New Roman"/>
          <w:b/>
          <w:bCs/>
          <w:lang w:val="en-US"/>
        </w:rPr>
        <w:t xml:space="preserve">s: </w:t>
      </w:r>
      <w:r w:rsidR="00E4775D" w:rsidRPr="004F2B59">
        <w:rPr>
          <w:rFonts w:ascii="Times New Roman" w:hAnsi="Times New Roman" w:cs="Times New Roman"/>
          <w:b/>
          <w:bCs/>
          <w:lang w:val="en-US"/>
        </w:rPr>
        <w:t xml:space="preserve">A </w:t>
      </w:r>
      <w:r w:rsidR="00E20890" w:rsidRPr="004F2B59">
        <w:rPr>
          <w:rFonts w:ascii="Times New Roman" w:hAnsi="Times New Roman" w:cs="Times New Roman"/>
          <w:b/>
          <w:bCs/>
          <w:lang w:val="en-US"/>
        </w:rPr>
        <w:t>reflection</w:t>
      </w:r>
      <w:r w:rsidR="00A168AB" w:rsidRPr="004F2B59">
        <w:rPr>
          <w:rFonts w:ascii="Times New Roman" w:hAnsi="Times New Roman" w:cs="Times New Roman"/>
          <w:b/>
          <w:bCs/>
          <w:lang w:val="en-US"/>
        </w:rPr>
        <w:t>on</w:t>
      </w:r>
      <w:r w:rsidR="0034229D" w:rsidRPr="004F2B59">
        <w:rPr>
          <w:rFonts w:ascii="Times New Roman" w:hAnsi="Times New Roman" w:cs="Times New Roman"/>
          <w:b/>
          <w:lang w:val="en-US"/>
        </w:rPr>
        <w:t>lenient and liberal construction of the Act</w:t>
      </w:r>
    </w:p>
    <w:p w:rsidR="00D30DD9" w:rsidRPr="004F2B59" w:rsidRDefault="00C50E9A"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Infact</w:t>
      </w:r>
      <w:r w:rsidR="00331DA4" w:rsidRPr="004F2B59">
        <w:rPr>
          <w:rFonts w:ascii="Times New Roman" w:hAnsi="Times New Roman" w:cs="Times New Roman"/>
          <w:lang w:val="en-US"/>
        </w:rPr>
        <w:t>,</w:t>
      </w:r>
      <w:r w:rsidRPr="004F2B59">
        <w:rPr>
          <w:rFonts w:ascii="Times New Roman" w:hAnsi="Times New Roman" w:cs="Times New Roman"/>
          <w:lang w:val="en-US"/>
        </w:rPr>
        <w:t xml:space="preserve"> to study the </w:t>
      </w:r>
      <w:r w:rsidR="00A1751D" w:rsidRPr="004F2B59">
        <w:rPr>
          <w:rFonts w:ascii="Times New Roman" w:hAnsi="Times New Roman" w:cs="Times New Roman"/>
        </w:rPr>
        <w:t>i</w:t>
      </w:r>
      <w:r w:rsidR="00802CBE" w:rsidRPr="004F2B59">
        <w:rPr>
          <w:rFonts w:ascii="Times New Roman" w:hAnsi="Times New Roman" w:cs="Times New Roman"/>
        </w:rPr>
        <w:t>mplementation of the POCSO Act</w:t>
      </w:r>
      <w:r w:rsidRPr="004F2B59">
        <w:rPr>
          <w:rFonts w:ascii="Times New Roman" w:hAnsi="Times New Roman" w:cs="Times New Roman"/>
          <w:lang w:val="en-US"/>
        </w:rPr>
        <w:t xml:space="preserve"> towards </w:t>
      </w:r>
      <w:r w:rsidR="00A168AB" w:rsidRPr="004F2B59">
        <w:rPr>
          <w:rFonts w:ascii="Times New Roman" w:hAnsi="Times New Roman" w:cs="Times New Roman"/>
          <w:lang w:val="en-US"/>
        </w:rPr>
        <w:t>r</w:t>
      </w:r>
      <w:r w:rsidRPr="004F2B59">
        <w:rPr>
          <w:rFonts w:ascii="Times New Roman" w:hAnsi="Times New Roman" w:cs="Times New Roman"/>
          <w:lang w:val="en-US"/>
        </w:rPr>
        <w:t xml:space="preserve">omantic </w:t>
      </w:r>
      <w:r w:rsidR="00A168AB" w:rsidRPr="004F2B59">
        <w:rPr>
          <w:rFonts w:ascii="Times New Roman" w:hAnsi="Times New Roman" w:cs="Times New Roman"/>
          <w:lang w:val="en-US"/>
        </w:rPr>
        <w:t>r</w:t>
      </w:r>
      <w:r w:rsidRPr="004F2B59">
        <w:rPr>
          <w:rFonts w:ascii="Times New Roman" w:hAnsi="Times New Roman" w:cs="Times New Roman"/>
          <w:lang w:val="en-US"/>
        </w:rPr>
        <w:t xml:space="preserve">elationships </w:t>
      </w:r>
      <w:r w:rsidR="00802CBE" w:rsidRPr="004F2B59">
        <w:rPr>
          <w:rFonts w:ascii="Times New Roman" w:hAnsi="Times New Roman" w:cs="Times New Roman"/>
          <w:lang w:val="en-US"/>
        </w:rPr>
        <w:t xml:space="preserve">by the </w:t>
      </w:r>
      <w:r w:rsidRPr="004F2B59">
        <w:rPr>
          <w:rFonts w:ascii="Times New Roman" w:hAnsi="Times New Roman" w:cs="Times New Roman"/>
          <w:lang w:val="en-US"/>
        </w:rPr>
        <w:t>Special Courts</w:t>
      </w:r>
      <w:r w:rsidR="00802CBE" w:rsidRPr="004F2B59">
        <w:rPr>
          <w:rFonts w:ascii="Times New Roman" w:hAnsi="Times New Roman" w:cs="Times New Roman"/>
          <w:lang w:val="en-US"/>
        </w:rPr>
        <w:t xml:space="preserve"> established under the POCSO Act </w:t>
      </w:r>
      <w:r w:rsidRPr="004F2B59">
        <w:rPr>
          <w:rFonts w:ascii="Times New Roman" w:hAnsi="Times New Roman" w:cs="Times New Roman"/>
          <w:lang w:val="en-US"/>
        </w:rPr>
        <w:t>, a</w:t>
      </w:r>
      <w:r w:rsidR="002D43E4" w:rsidRPr="004F2B59">
        <w:rPr>
          <w:rFonts w:ascii="Times New Roman" w:hAnsi="Times New Roman" w:cs="Times New Roman"/>
          <w:lang w:val="en-US"/>
        </w:rPr>
        <w:t xml:space="preserve"> study</w:t>
      </w:r>
      <w:r w:rsidRPr="004F2B59">
        <w:rPr>
          <w:rFonts w:ascii="Times New Roman" w:hAnsi="Times New Roman" w:cs="Times New Roman"/>
          <w:lang w:val="en-US"/>
        </w:rPr>
        <w:t xml:space="preserve"> was  conducted by </w:t>
      </w:r>
      <w:r w:rsidR="00D30DD9" w:rsidRPr="004F2B59">
        <w:rPr>
          <w:rFonts w:ascii="Times New Roman" w:hAnsi="Times New Roman" w:cs="Times New Roman"/>
          <w:lang w:val="en-US"/>
        </w:rPr>
        <w:t>Centre for Child and the Law by NLSIU, Bangalore</w:t>
      </w:r>
      <w:r w:rsidR="00331DA4" w:rsidRPr="004F2B59">
        <w:rPr>
          <w:rFonts w:ascii="Times New Roman" w:hAnsi="Times New Roman" w:cs="Times New Roman"/>
          <w:lang w:val="en-US"/>
        </w:rPr>
        <w:t>, published in February 2018,</w:t>
      </w:r>
      <w:r w:rsidR="00DE6329" w:rsidRPr="004F2B59">
        <w:rPr>
          <w:rFonts w:ascii="Times New Roman" w:hAnsi="Times New Roman" w:cs="Times New Roman"/>
          <w:lang w:val="en-US"/>
        </w:rPr>
        <w:t xml:space="preserve">wherein </w:t>
      </w:r>
      <w:r w:rsidRPr="004F2B59">
        <w:rPr>
          <w:rFonts w:ascii="Times New Roman" w:hAnsi="Times New Roman" w:cs="Times New Roman"/>
          <w:lang w:val="en-US"/>
        </w:rPr>
        <w:t xml:space="preserve">the study revealed </w:t>
      </w:r>
      <w:r w:rsidR="002D43E4" w:rsidRPr="004F2B59">
        <w:rPr>
          <w:rFonts w:ascii="Times New Roman" w:hAnsi="Times New Roman" w:cs="Times New Roman"/>
          <w:lang w:val="en-US"/>
        </w:rPr>
        <w:t>sympathetic and lenient behavior</w:t>
      </w:r>
      <w:r w:rsidR="00DE6329" w:rsidRPr="004F2B59">
        <w:rPr>
          <w:rFonts w:ascii="Times New Roman" w:hAnsi="Times New Roman" w:cs="Times New Roman"/>
          <w:lang w:val="en-US"/>
        </w:rPr>
        <w:t xml:space="preserve"> of </w:t>
      </w:r>
      <w:r w:rsidRPr="004F2B59">
        <w:rPr>
          <w:rFonts w:ascii="Times New Roman" w:hAnsi="Times New Roman" w:cs="Times New Roman"/>
          <w:lang w:val="en-US"/>
        </w:rPr>
        <w:t xml:space="preserve"> the jud</w:t>
      </w:r>
      <w:r w:rsidR="00DE6329" w:rsidRPr="004F2B59">
        <w:rPr>
          <w:rFonts w:ascii="Times New Roman" w:hAnsi="Times New Roman" w:cs="Times New Roman"/>
          <w:lang w:val="en-US"/>
        </w:rPr>
        <w:t>ges of the Special Courts</w:t>
      </w:r>
      <w:r w:rsidR="002D43E4" w:rsidRPr="004F2B59">
        <w:rPr>
          <w:rFonts w:ascii="Times New Roman" w:hAnsi="Times New Roman" w:cs="Times New Roman"/>
          <w:lang w:val="en-US"/>
        </w:rPr>
        <w:t>towards both the parties in</w:t>
      </w:r>
      <w:r w:rsidR="00DE6329" w:rsidRPr="004F2B59">
        <w:rPr>
          <w:rFonts w:ascii="Times New Roman" w:hAnsi="Times New Roman" w:cs="Times New Roman"/>
          <w:lang w:val="en-US"/>
        </w:rPr>
        <w:t xml:space="preserve"> such </w:t>
      </w:r>
      <w:r w:rsidR="002D43E4" w:rsidRPr="004F2B59">
        <w:rPr>
          <w:rFonts w:ascii="Times New Roman" w:hAnsi="Times New Roman" w:cs="Times New Roman"/>
          <w:lang w:val="en-US"/>
        </w:rPr>
        <w:t xml:space="preserve"> cases dealing with romantic relationships between minors</w:t>
      </w:r>
      <w:r w:rsidR="008F696A" w:rsidRPr="004F2B59">
        <w:rPr>
          <w:rFonts w:ascii="Times New Roman" w:hAnsi="Times New Roman" w:cs="Times New Roman"/>
          <w:lang w:val="en-US"/>
        </w:rPr>
        <w:t xml:space="preserve"> especially if they had gotten married and children as a consequence</w:t>
      </w:r>
      <w:r w:rsidR="002D43E4" w:rsidRPr="004F2B59">
        <w:rPr>
          <w:rFonts w:ascii="Times New Roman" w:hAnsi="Times New Roman" w:cs="Times New Roman"/>
          <w:lang w:val="en-US"/>
        </w:rPr>
        <w:t>.</w:t>
      </w:r>
      <w:r w:rsidR="002D43E4" w:rsidRPr="004F2B59">
        <w:rPr>
          <w:rStyle w:val="FootnoteReference"/>
          <w:rFonts w:ascii="Times New Roman" w:hAnsi="Times New Roman" w:cs="Times New Roman"/>
          <w:lang w:val="en-US"/>
        </w:rPr>
        <w:footnoteReference w:id="68"/>
      </w:r>
      <w:r w:rsidR="008F38E7" w:rsidRPr="004F2B59">
        <w:rPr>
          <w:rFonts w:ascii="Times New Roman" w:hAnsi="Times New Roman" w:cs="Times New Roman"/>
          <w:lang w:val="en-US"/>
        </w:rPr>
        <w:t>The study</w:t>
      </w:r>
      <w:r w:rsidR="00DE6329" w:rsidRPr="004F2B59">
        <w:rPr>
          <w:rFonts w:ascii="Times New Roman" w:hAnsi="Times New Roman" w:cs="Times New Roman"/>
          <w:lang w:val="en-US"/>
        </w:rPr>
        <w:t xml:space="preserve"> also</w:t>
      </w:r>
      <w:r w:rsidR="008F38E7" w:rsidRPr="004F2B59">
        <w:rPr>
          <w:rFonts w:ascii="Times New Roman" w:hAnsi="Times New Roman" w:cs="Times New Roman"/>
          <w:lang w:val="en-US"/>
        </w:rPr>
        <w:t xml:space="preserve"> showed that the accused in most of these cases end up getting acquitted, either because the primary witness, the victim refused to testify against the accused, turned hostile or denied that the </w:t>
      </w:r>
      <w:r w:rsidR="006936B4" w:rsidRPr="004F2B59">
        <w:rPr>
          <w:rFonts w:ascii="Times New Roman" w:hAnsi="Times New Roman" w:cs="Times New Roman"/>
          <w:lang w:val="en-US"/>
        </w:rPr>
        <w:t xml:space="preserve">acts and </w:t>
      </w:r>
      <w:r w:rsidR="008F38E7" w:rsidRPr="004F2B59">
        <w:rPr>
          <w:rFonts w:ascii="Times New Roman" w:hAnsi="Times New Roman" w:cs="Times New Roman"/>
          <w:lang w:val="en-US"/>
        </w:rPr>
        <w:t>events ever took place.</w:t>
      </w:r>
      <w:r w:rsidR="008F38E7" w:rsidRPr="004F2B59">
        <w:rPr>
          <w:rStyle w:val="FootnoteReference"/>
          <w:rFonts w:ascii="Times New Roman" w:hAnsi="Times New Roman" w:cs="Times New Roman"/>
          <w:lang w:val="en-US"/>
        </w:rPr>
        <w:footnoteReference w:id="69"/>
      </w:r>
      <w:r w:rsidR="006936B4" w:rsidRPr="004F2B59">
        <w:rPr>
          <w:rFonts w:ascii="Times New Roman" w:hAnsi="Times New Roman" w:cs="Times New Roman"/>
          <w:lang w:val="en-US"/>
        </w:rPr>
        <w:t xml:space="preserve"> In fact, in most of the cases, </w:t>
      </w:r>
      <w:r w:rsidRPr="004F2B59">
        <w:rPr>
          <w:rFonts w:ascii="Times New Roman" w:hAnsi="Times New Roman" w:cs="Times New Roman"/>
          <w:lang w:val="en-US"/>
        </w:rPr>
        <w:t xml:space="preserve">it was </w:t>
      </w:r>
      <w:r w:rsidR="006936B4" w:rsidRPr="004F2B59">
        <w:rPr>
          <w:rFonts w:ascii="Times New Roman" w:hAnsi="Times New Roman" w:cs="Times New Roman"/>
          <w:lang w:val="en-US"/>
        </w:rPr>
        <w:t>state</w:t>
      </w:r>
      <w:r w:rsidRPr="004F2B59">
        <w:rPr>
          <w:rFonts w:ascii="Times New Roman" w:hAnsi="Times New Roman" w:cs="Times New Roman"/>
          <w:lang w:val="en-US"/>
        </w:rPr>
        <w:t>d</w:t>
      </w:r>
      <w:r w:rsidR="006936B4" w:rsidRPr="004F2B59">
        <w:rPr>
          <w:rFonts w:ascii="Times New Roman" w:hAnsi="Times New Roman" w:cs="Times New Roman"/>
          <w:lang w:val="en-US"/>
        </w:rPr>
        <w:t xml:space="preserve"> that the sexual intercourse was consensual</w:t>
      </w:r>
      <w:r w:rsidRPr="004F2B59">
        <w:rPr>
          <w:rFonts w:ascii="Times New Roman" w:hAnsi="Times New Roman" w:cs="Times New Roman"/>
          <w:lang w:val="en-US"/>
        </w:rPr>
        <w:t xml:space="preserve">, resulting in acquittal of </w:t>
      </w:r>
      <w:r w:rsidR="006936B4" w:rsidRPr="004F2B59">
        <w:rPr>
          <w:rFonts w:ascii="Times New Roman" w:hAnsi="Times New Roman" w:cs="Times New Roman"/>
          <w:lang w:val="en-US"/>
        </w:rPr>
        <w:t>the accused.</w:t>
      </w:r>
      <w:r w:rsidR="006936B4" w:rsidRPr="004F2B59">
        <w:rPr>
          <w:rStyle w:val="FootnoteReference"/>
          <w:rFonts w:ascii="Times New Roman" w:hAnsi="Times New Roman" w:cs="Times New Roman"/>
          <w:lang w:val="en-US"/>
        </w:rPr>
        <w:footnoteReference w:id="70"/>
      </w:r>
      <w:r w:rsidR="006936B4" w:rsidRPr="004F2B59">
        <w:rPr>
          <w:rFonts w:ascii="Times New Roman" w:hAnsi="Times New Roman" w:cs="Times New Roman"/>
          <w:lang w:val="en-US"/>
        </w:rPr>
        <w:t xml:space="preserve"> This was despite the fact that the POCSO Act treats the consent of minors as irrelevant.</w:t>
      </w:r>
      <w:r w:rsidR="00C552B5" w:rsidRPr="004F2B59">
        <w:rPr>
          <w:rFonts w:ascii="Times New Roman" w:hAnsi="Times New Roman" w:cs="Times New Roman"/>
          <w:lang w:val="en-US"/>
        </w:rPr>
        <w:t>Consequently,</w:t>
      </w:r>
      <w:r w:rsidR="00D36D92" w:rsidRPr="004F2B59">
        <w:rPr>
          <w:rFonts w:ascii="Times New Roman" w:hAnsi="Times New Roman" w:cs="Times New Roman"/>
          <w:lang w:val="en-US"/>
        </w:rPr>
        <w:t>the rate of conviction in cases related to married couples was</w:t>
      </w:r>
      <w:r w:rsidR="00DE6329" w:rsidRPr="004F2B59">
        <w:rPr>
          <w:rFonts w:ascii="Times New Roman" w:hAnsi="Times New Roman" w:cs="Times New Roman"/>
          <w:lang w:val="en-US"/>
        </w:rPr>
        <w:t xml:space="preserve"> found to be </w:t>
      </w:r>
      <w:r w:rsidR="00D36D92" w:rsidRPr="004F2B59">
        <w:rPr>
          <w:rFonts w:ascii="Times New Roman" w:hAnsi="Times New Roman" w:cs="Times New Roman"/>
          <w:lang w:val="en-US"/>
        </w:rPr>
        <w:t>0% in the states of Assam and Andhra Pradesh, 1% in Delhi and 3% in the state of Maharashtra.</w:t>
      </w:r>
      <w:r w:rsidR="00D36D92" w:rsidRPr="004F2B59">
        <w:rPr>
          <w:rStyle w:val="FootnoteReference"/>
          <w:rFonts w:ascii="Times New Roman" w:hAnsi="Times New Roman" w:cs="Times New Roman"/>
          <w:lang w:val="en-US"/>
        </w:rPr>
        <w:footnoteReference w:id="71"/>
      </w:r>
    </w:p>
    <w:p w:rsidR="001D50D0" w:rsidRPr="004F2B59" w:rsidRDefault="00146A56" w:rsidP="004F2B59">
      <w:pPr>
        <w:spacing w:after="0" w:line="320" w:lineRule="exact"/>
        <w:ind w:firstLine="432"/>
        <w:jc w:val="both"/>
        <w:rPr>
          <w:rFonts w:ascii="Times New Roman" w:hAnsi="Times New Roman" w:cs="Times New Roman"/>
          <w:u w:val="single"/>
          <w:lang w:val="en-US"/>
        </w:rPr>
      </w:pPr>
      <w:r w:rsidRPr="004F2B59">
        <w:rPr>
          <w:rFonts w:ascii="Times New Roman" w:hAnsi="Times New Roman" w:cs="Times New Roman"/>
          <w:lang w:val="en-US"/>
        </w:rPr>
        <w:t>Another study conducted in 2017</w:t>
      </w:r>
      <w:r w:rsidR="00C50E9A" w:rsidRPr="004F2B59">
        <w:rPr>
          <w:rFonts w:ascii="Times New Roman" w:hAnsi="Times New Roman" w:cs="Times New Roman"/>
          <w:lang w:val="en-US"/>
        </w:rPr>
        <w:t xml:space="preserve">by </w:t>
      </w:r>
      <w:r w:rsidR="00331DA4" w:rsidRPr="004F2B59">
        <w:rPr>
          <w:rFonts w:ascii="Times New Roman" w:hAnsi="Times New Roman" w:cs="Times New Roman"/>
          <w:lang w:val="en-US"/>
        </w:rPr>
        <w:t>HAQ Centre for Child Rights and Forum Against Sexual Exploitation of Children (FACSE) supported by UNICEF</w:t>
      </w:r>
      <w:r w:rsidRPr="004F2B59">
        <w:rPr>
          <w:rFonts w:ascii="Times New Roman" w:hAnsi="Times New Roman" w:cs="Times New Roman"/>
          <w:lang w:val="en-US"/>
        </w:rPr>
        <w:t xml:space="preserve"> on the implementation of the Act </w:t>
      </w:r>
      <w:r w:rsidR="00C336D2" w:rsidRPr="004F2B59">
        <w:rPr>
          <w:rFonts w:ascii="Times New Roman" w:hAnsi="Times New Roman" w:cs="Times New Roman"/>
          <w:lang w:val="en-US"/>
        </w:rPr>
        <w:t>in Delhi and Mumbai</w:t>
      </w:r>
      <w:r w:rsidR="008F7856" w:rsidRPr="004F2B59">
        <w:rPr>
          <w:rFonts w:ascii="Times New Roman" w:hAnsi="Times New Roman" w:cs="Times New Roman"/>
          <w:lang w:val="en-US"/>
        </w:rPr>
        <w:t xml:space="preserve"> (2012-2015)</w:t>
      </w:r>
      <w:r w:rsidR="00802CBE" w:rsidRPr="004F2B59">
        <w:rPr>
          <w:rFonts w:ascii="Times New Roman" w:hAnsi="Times New Roman" w:cs="Times New Roman"/>
          <w:lang w:val="en-US"/>
        </w:rPr>
        <w:t xml:space="preserve"> also </w:t>
      </w:r>
      <w:r w:rsidR="00C336D2" w:rsidRPr="004F2B59">
        <w:rPr>
          <w:rFonts w:ascii="Times New Roman" w:hAnsi="Times New Roman" w:cs="Times New Roman"/>
          <w:lang w:val="en-US"/>
        </w:rPr>
        <w:t xml:space="preserve">showed that </w:t>
      </w:r>
      <w:r w:rsidRPr="004F2B59">
        <w:rPr>
          <w:rFonts w:ascii="Times New Roman" w:hAnsi="Times New Roman" w:cs="Times New Roman"/>
          <w:lang w:val="en-US"/>
        </w:rPr>
        <w:t xml:space="preserve">out of the total </w:t>
      </w:r>
      <w:r w:rsidR="008A7F63" w:rsidRPr="004F2B59">
        <w:rPr>
          <w:rFonts w:ascii="Times New Roman" w:hAnsi="Times New Roman" w:cs="Times New Roman"/>
          <w:lang w:val="en-US"/>
        </w:rPr>
        <w:t>224</w:t>
      </w:r>
      <w:r w:rsidRPr="004F2B59">
        <w:rPr>
          <w:rFonts w:ascii="Times New Roman" w:hAnsi="Times New Roman" w:cs="Times New Roman"/>
          <w:lang w:val="en-US"/>
        </w:rPr>
        <w:t xml:space="preserve"> POCSO cases</w:t>
      </w:r>
      <w:r w:rsidR="008A7F63" w:rsidRPr="004F2B59">
        <w:rPr>
          <w:rFonts w:ascii="Times New Roman" w:hAnsi="Times New Roman" w:cs="Times New Roman"/>
          <w:lang w:val="en-US"/>
        </w:rPr>
        <w:t xml:space="preserve"> in Delhi, 79 cases (35%) related to romantic relationships out of which in 74 cases (94%), the accused was acquitted</w:t>
      </w:r>
      <w:r w:rsidRPr="004F2B59">
        <w:rPr>
          <w:rFonts w:ascii="Times New Roman" w:hAnsi="Times New Roman" w:cs="Times New Roman"/>
          <w:lang w:val="en-US"/>
        </w:rPr>
        <w:t>.</w:t>
      </w:r>
      <w:r w:rsidRPr="004F2B59">
        <w:rPr>
          <w:rStyle w:val="FootnoteReference"/>
          <w:rFonts w:ascii="Times New Roman" w:hAnsi="Times New Roman" w:cs="Times New Roman"/>
          <w:lang w:val="en-US"/>
        </w:rPr>
        <w:footnoteReference w:id="72"/>
      </w:r>
      <w:r w:rsidR="003B47B1" w:rsidRPr="004F2B59">
        <w:rPr>
          <w:rFonts w:ascii="Times New Roman" w:hAnsi="Times New Roman" w:cs="Times New Roman"/>
          <w:lang w:val="en-US"/>
        </w:rPr>
        <w:t xml:space="preserve"> In Mumbai, the total number of such cases disposed were just 4</w:t>
      </w:r>
      <w:r w:rsidR="00257BA8" w:rsidRPr="004F2B59">
        <w:rPr>
          <w:rFonts w:ascii="Times New Roman" w:hAnsi="Times New Roman" w:cs="Times New Roman"/>
          <w:lang w:val="en-US"/>
        </w:rPr>
        <w:t xml:space="preserve"> in total</w:t>
      </w:r>
      <w:r w:rsidR="003B47B1" w:rsidRPr="004F2B59">
        <w:rPr>
          <w:rFonts w:ascii="Times New Roman" w:hAnsi="Times New Roman" w:cs="Times New Roman"/>
          <w:lang w:val="en-US"/>
        </w:rPr>
        <w:t>. However, in 3</w:t>
      </w:r>
      <w:r w:rsidR="00257BA8" w:rsidRPr="004F2B59">
        <w:rPr>
          <w:rFonts w:ascii="Times New Roman" w:hAnsi="Times New Roman" w:cs="Times New Roman"/>
          <w:lang w:val="en-US"/>
        </w:rPr>
        <w:t xml:space="preserve"> cases</w:t>
      </w:r>
      <w:r w:rsidR="003B47B1" w:rsidRPr="004F2B59">
        <w:rPr>
          <w:rFonts w:ascii="Times New Roman" w:hAnsi="Times New Roman" w:cs="Times New Roman"/>
          <w:lang w:val="en-US"/>
        </w:rPr>
        <w:t xml:space="preserve"> </w:t>
      </w:r>
      <w:r w:rsidR="003B47B1" w:rsidRPr="004F2B59">
        <w:rPr>
          <w:rFonts w:ascii="Times New Roman" w:hAnsi="Times New Roman" w:cs="Times New Roman"/>
          <w:lang w:val="en-US"/>
        </w:rPr>
        <w:lastRenderedPageBreak/>
        <w:t>(75%), the accused ended up being acquitted.</w:t>
      </w:r>
      <w:r w:rsidR="003B47B1" w:rsidRPr="004F2B59">
        <w:rPr>
          <w:rStyle w:val="FootnoteReference"/>
          <w:rFonts w:ascii="Times New Roman" w:hAnsi="Times New Roman" w:cs="Times New Roman"/>
          <w:lang w:val="en-US"/>
        </w:rPr>
        <w:footnoteReference w:id="73"/>
      </w:r>
      <w:r w:rsidR="00FF6C92" w:rsidRPr="004F2B59">
        <w:rPr>
          <w:rFonts w:ascii="Times New Roman" w:hAnsi="Times New Roman" w:cs="Times New Roman"/>
          <w:lang w:val="en-US"/>
        </w:rPr>
        <w:t xml:space="preserve"> This showed that not just were these cases taking up a lot of time </w:t>
      </w:r>
      <w:r w:rsidR="00257BA8" w:rsidRPr="004F2B59">
        <w:rPr>
          <w:rFonts w:ascii="Times New Roman" w:hAnsi="Times New Roman" w:cs="Times New Roman"/>
          <w:lang w:val="en-US"/>
        </w:rPr>
        <w:t>from</w:t>
      </w:r>
      <w:r w:rsidR="00FF6C92" w:rsidRPr="004F2B59">
        <w:rPr>
          <w:rFonts w:ascii="Times New Roman" w:hAnsi="Times New Roman" w:cs="Times New Roman"/>
          <w:lang w:val="en-US"/>
        </w:rPr>
        <w:t xml:space="preserve"> the Special Courts but also </w:t>
      </w:r>
      <w:r w:rsidR="002A059C" w:rsidRPr="004F2B59">
        <w:rPr>
          <w:rFonts w:ascii="Times New Roman" w:hAnsi="Times New Roman" w:cs="Times New Roman"/>
          <w:lang w:val="en-US"/>
        </w:rPr>
        <w:t xml:space="preserve">resulting in the victim or the primary witness turning hostile. </w:t>
      </w:r>
    </w:p>
    <w:p w:rsidR="002A059C" w:rsidRPr="004F2B59" w:rsidRDefault="002D52B9" w:rsidP="004F2B59">
      <w:pPr>
        <w:pStyle w:val="ListParagraph"/>
        <w:numPr>
          <w:ilvl w:val="1"/>
          <w:numId w:val="12"/>
        </w:numPr>
        <w:spacing w:after="0" w:line="320" w:lineRule="exact"/>
        <w:ind w:left="0" w:firstLine="432"/>
        <w:contextualSpacing w:val="0"/>
        <w:jc w:val="both"/>
        <w:rPr>
          <w:rFonts w:ascii="Times New Roman" w:hAnsi="Times New Roman" w:cs="Times New Roman"/>
          <w:b/>
          <w:bCs/>
          <w:lang w:val="en-US"/>
        </w:rPr>
      </w:pPr>
      <w:r w:rsidRPr="004F2B59">
        <w:rPr>
          <w:rFonts w:ascii="Times New Roman" w:hAnsi="Times New Roman" w:cs="Times New Roman"/>
          <w:b/>
          <w:bCs/>
          <w:lang w:val="en-US"/>
        </w:rPr>
        <w:t xml:space="preserve">Interpretation by Special </w:t>
      </w:r>
      <w:r w:rsidR="00C552B5" w:rsidRPr="004F2B59">
        <w:rPr>
          <w:rFonts w:ascii="Times New Roman" w:hAnsi="Times New Roman" w:cs="Times New Roman"/>
          <w:b/>
          <w:bCs/>
          <w:lang w:val="en-US"/>
        </w:rPr>
        <w:t>Courts with</w:t>
      </w:r>
      <w:r w:rsidR="006C0A0C" w:rsidRPr="004F2B59">
        <w:rPr>
          <w:rFonts w:ascii="Times New Roman" w:hAnsi="Times New Roman" w:cs="Times New Roman"/>
          <w:b/>
          <w:bCs/>
          <w:lang w:val="en-US"/>
        </w:rPr>
        <w:t xml:space="preserve"> respect to Romantic Relationships: </w:t>
      </w:r>
      <w:r w:rsidR="00C552B5" w:rsidRPr="004F2B59">
        <w:rPr>
          <w:rFonts w:ascii="Times New Roman" w:hAnsi="Times New Roman" w:cs="Times New Roman"/>
          <w:b/>
          <w:bCs/>
          <w:lang w:val="en-US"/>
        </w:rPr>
        <w:t>A Reflection</w:t>
      </w:r>
      <w:r w:rsidR="006C0A0C" w:rsidRPr="004F2B59">
        <w:rPr>
          <w:rFonts w:ascii="Times New Roman" w:hAnsi="Times New Roman" w:cs="Times New Roman"/>
          <w:b/>
          <w:bCs/>
          <w:lang w:val="en-US"/>
        </w:rPr>
        <w:t xml:space="preserve"> of Blanket</w:t>
      </w:r>
      <w:r w:rsidR="00C552B5" w:rsidRPr="004F2B59">
        <w:rPr>
          <w:rFonts w:ascii="Times New Roman" w:hAnsi="Times New Roman" w:cs="Times New Roman"/>
          <w:b/>
          <w:bCs/>
          <w:lang w:val="en-US"/>
        </w:rPr>
        <w:t xml:space="preserve"> Approach</w:t>
      </w:r>
    </w:p>
    <w:p w:rsidR="00165DDA" w:rsidRPr="004F2B59" w:rsidRDefault="006C0A0C"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There have </w:t>
      </w:r>
      <w:r w:rsidR="00C552B5" w:rsidRPr="004F2B59">
        <w:rPr>
          <w:rFonts w:ascii="Times New Roman" w:hAnsi="Times New Roman" w:cs="Times New Roman"/>
          <w:lang w:val="en-US"/>
        </w:rPr>
        <w:t>been numerous</w:t>
      </w:r>
      <w:r w:rsidRPr="004F2B59">
        <w:rPr>
          <w:rFonts w:ascii="Times New Roman" w:hAnsi="Times New Roman" w:cs="Times New Roman"/>
          <w:lang w:val="en-US"/>
        </w:rPr>
        <w:t xml:space="preserve"> judgements given by POCSO courts in cases related to romantic relationships cases which </w:t>
      </w:r>
      <w:r w:rsidR="00331DA4" w:rsidRPr="004F2B59">
        <w:rPr>
          <w:rFonts w:ascii="Times New Roman" w:hAnsi="Times New Roman" w:cs="Times New Roman"/>
          <w:lang w:val="en-US"/>
        </w:rPr>
        <w:t>seem</w:t>
      </w:r>
      <w:r w:rsidRPr="004F2B59">
        <w:rPr>
          <w:rFonts w:ascii="Times New Roman" w:hAnsi="Times New Roman" w:cs="Times New Roman"/>
          <w:lang w:val="en-US"/>
        </w:rPr>
        <w:t xml:space="preserve"> to highlight an evident lack of analysis on </w:t>
      </w:r>
      <w:r w:rsidR="00331DA4" w:rsidRPr="004F2B59">
        <w:rPr>
          <w:rFonts w:ascii="Times New Roman" w:hAnsi="Times New Roman" w:cs="Times New Roman"/>
          <w:lang w:val="en-US"/>
        </w:rPr>
        <w:t>the part</w:t>
      </w:r>
      <w:r w:rsidRPr="004F2B59">
        <w:rPr>
          <w:rFonts w:ascii="Times New Roman" w:hAnsi="Times New Roman" w:cs="Times New Roman"/>
          <w:lang w:val="en-US"/>
        </w:rPr>
        <w:t xml:space="preserve"> of the Special Courts to investigate the nuances of consent prevailing in each case. The Special courts have used a rather blanket approach while considering romantic cases and looked at consent one-dimensionally. </w:t>
      </w:r>
      <w:r w:rsidR="00C0671F" w:rsidRPr="004F2B59">
        <w:rPr>
          <w:rFonts w:ascii="Times New Roman" w:hAnsi="Times New Roman" w:cs="Times New Roman"/>
          <w:lang w:val="en-US"/>
        </w:rPr>
        <w:t>I</w:t>
      </w:r>
      <w:r w:rsidR="002D52B9" w:rsidRPr="004F2B59">
        <w:rPr>
          <w:rFonts w:ascii="Times New Roman" w:hAnsi="Times New Roman" w:cs="Times New Roman"/>
          <w:lang w:val="en-US"/>
        </w:rPr>
        <w:t>n the</w:t>
      </w:r>
      <w:r w:rsidR="00165DDA" w:rsidRPr="004F2B59">
        <w:rPr>
          <w:rFonts w:ascii="Times New Roman" w:hAnsi="Times New Roman" w:cs="Times New Roman"/>
          <w:lang w:val="en-US"/>
        </w:rPr>
        <w:t xml:space="preserve"> case of </w:t>
      </w:r>
      <w:r w:rsidR="00165DDA" w:rsidRPr="004F2B59">
        <w:rPr>
          <w:rFonts w:ascii="Times New Roman" w:hAnsi="Times New Roman" w:cs="Times New Roman"/>
          <w:i/>
          <w:iCs/>
          <w:lang w:val="en-US"/>
        </w:rPr>
        <w:t>State v. Suman Dass</w:t>
      </w:r>
      <w:r w:rsidR="00165DDA" w:rsidRPr="004F2B59">
        <w:rPr>
          <w:rStyle w:val="FootnoteReference"/>
          <w:rFonts w:ascii="Times New Roman" w:hAnsi="Times New Roman" w:cs="Times New Roman"/>
          <w:lang w:val="en-US"/>
        </w:rPr>
        <w:footnoteReference w:id="74"/>
      </w:r>
      <w:r w:rsidR="000B25CE" w:rsidRPr="004F2B59">
        <w:rPr>
          <w:rFonts w:ascii="Times New Roman" w:hAnsi="Times New Roman" w:cs="Times New Roman"/>
          <w:lang w:val="en-US"/>
        </w:rPr>
        <w:t xml:space="preserve">wherein </w:t>
      </w:r>
      <w:r w:rsidR="00D07B5D" w:rsidRPr="004F2B59">
        <w:rPr>
          <w:rFonts w:ascii="Times New Roman" w:hAnsi="Times New Roman" w:cs="Times New Roman"/>
          <w:lang w:val="en-US"/>
        </w:rPr>
        <w:t xml:space="preserve">a 15-year-old girl eloped and married a man aged 22 years. Her mother </w:t>
      </w:r>
      <w:r w:rsidR="00C240E0" w:rsidRPr="004F2B59">
        <w:rPr>
          <w:rFonts w:ascii="Times New Roman" w:hAnsi="Times New Roman" w:cs="Times New Roman"/>
          <w:lang w:val="en-US"/>
        </w:rPr>
        <w:t xml:space="preserve">filed a complaint alleging kidnapping and sexual assault by that man. The girl though in her statement admitted to having gone with him willingly and having consensual sexual intercourse. The man was charged under s. 363 of the IPC (kidnapping) and s. 4 of the POCSO Act (aggravated sexual assault). The court on the analysis of the evidence in front it did not find the accused guilty </w:t>
      </w:r>
      <w:r w:rsidR="000B10DE" w:rsidRPr="004F2B59">
        <w:rPr>
          <w:rFonts w:ascii="Times New Roman" w:hAnsi="Times New Roman" w:cs="Times New Roman"/>
          <w:lang w:val="en-US"/>
        </w:rPr>
        <w:t>of</w:t>
      </w:r>
      <w:r w:rsidR="00C240E0" w:rsidRPr="004F2B59">
        <w:rPr>
          <w:rFonts w:ascii="Times New Roman" w:hAnsi="Times New Roman" w:cs="Times New Roman"/>
          <w:lang w:val="en-US"/>
        </w:rPr>
        <w:t xml:space="preserve"> kidnapping</w:t>
      </w:r>
      <w:r w:rsidR="000B10DE" w:rsidRPr="004F2B59">
        <w:rPr>
          <w:rFonts w:ascii="Times New Roman" w:hAnsi="Times New Roman" w:cs="Times New Roman"/>
          <w:lang w:val="en-US"/>
        </w:rPr>
        <w:t xml:space="preserve"> as it found “</w:t>
      </w:r>
      <w:r w:rsidR="000B10DE" w:rsidRPr="004F2B59">
        <w:rPr>
          <w:rFonts w:ascii="Times New Roman" w:hAnsi="Times New Roman" w:cs="Times New Roman"/>
          <w:i/>
          <w:iCs/>
          <w:lang w:val="en-US"/>
        </w:rPr>
        <w:t>no iota of evidence that the accused enticed or took away the prosecutrix from her lawful guardian.</w:t>
      </w:r>
      <w:r w:rsidR="000B10DE" w:rsidRPr="004F2B59">
        <w:rPr>
          <w:rFonts w:ascii="Times New Roman" w:hAnsi="Times New Roman" w:cs="Times New Roman"/>
          <w:lang w:val="en-US"/>
        </w:rPr>
        <w:t>”</w:t>
      </w:r>
      <w:r w:rsidR="000B10DE" w:rsidRPr="004F2B59">
        <w:rPr>
          <w:rStyle w:val="FootnoteReference"/>
          <w:rFonts w:ascii="Times New Roman" w:hAnsi="Times New Roman" w:cs="Times New Roman"/>
          <w:lang w:val="en-US"/>
        </w:rPr>
        <w:footnoteReference w:id="75"/>
      </w:r>
      <w:r w:rsidR="000B10DE" w:rsidRPr="004F2B59">
        <w:rPr>
          <w:rFonts w:ascii="Times New Roman" w:hAnsi="Times New Roman" w:cs="Times New Roman"/>
          <w:lang w:val="en-US"/>
        </w:rPr>
        <w:t xml:space="preserve"> The court also acquitted the accused on the charge of aggravated sexual assault under POCSO Act on the ground that the couple were married and living peacefully. It was further held that </w:t>
      </w:r>
      <w:r w:rsidR="0003632D" w:rsidRPr="004F2B59">
        <w:rPr>
          <w:rFonts w:ascii="Times New Roman" w:hAnsi="Times New Roman" w:cs="Times New Roman"/>
          <w:lang w:val="en-US"/>
        </w:rPr>
        <w:t xml:space="preserve">it wouldn’t be wise to punish the accused on the grounds that he had sexual intercourse with the minor, firstly because according to the court, it would neither serve the purpose of the Act nor criminal law in general and secondly because it wouldn’t be conducive for the mental and psychological health of the girl that her newly married husband was sent to jail. </w:t>
      </w:r>
      <w:r w:rsidR="00310237" w:rsidRPr="004F2B59">
        <w:rPr>
          <w:rFonts w:ascii="Times New Roman" w:hAnsi="Times New Roman" w:cs="Times New Roman"/>
          <w:lang w:val="en-US"/>
        </w:rPr>
        <w:t>However, most importantly, the court</w:t>
      </w:r>
      <w:r w:rsidR="003C6166" w:rsidRPr="004F2B59">
        <w:rPr>
          <w:rFonts w:ascii="Times New Roman" w:hAnsi="Times New Roman" w:cs="Times New Roman"/>
          <w:lang w:val="en-US"/>
        </w:rPr>
        <w:t xml:space="preserve"> commenting on the naivety of youthopined that while marriage at such a young age is filled with complications but </w:t>
      </w:r>
      <w:r w:rsidR="00310237" w:rsidRPr="004F2B59">
        <w:rPr>
          <w:rFonts w:ascii="Times New Roman" w:hAnsi="Times New Roman" w:cs="Times New Roman"/>
          <w:lang w:val="en-US"/>
        </w:rPr>
        <w:t>“</w:t>
      </w:r>
      <w:r w:rsidR="00310237" w:rsidRPr="004F2B59">
        <w:rPr>
          <w:rFonts w:ascii="Times New Roman" w:hAnsi="Times New Roman" w:cs="Times New Roman"/>
          <w:i/>
          <w:iCs/>
          <w:lang w:val="en-US"/>
        </w:rPr>
        <w:t xml:space="preserve">Law cannot and should not </w:t>
      </w:r>
      <w:r w:rsidR="00310237" w:rsidRPr="004F2B59">
        <w:rPr>
          <w:rFonts w:ascii="Times New Roman" w:hAnsi="Times New Roman" w:cs="Times New Roman"/>
          <w:i/>
          <w:iCs/>
          <w:lang w:val="en-US"/>
        </w:rPr>
        <w:lastRenderedPageBreak/>
        <w:t>prohibit teens from experimentation of such nature</w:t>
      </w:r>
      <w:r w:rsidR="003C6166" w:rsidRPr="004F2B59">
        <w:rPr>
          <w:rFonts w:ascii="Times New Roman" w:hAnsi="Times New Roman" w:cs="Times New Roman"/>
          <w:i/>
          <w:iCs/>
          <w:lang w:val="en-US"/>
        </w:rPr>
        <w:t>.</w:t>
      </w:r>
      <w:r w:rsidR="00310237" w:rsidRPr="004F2B59">
        <w:rPr>
          <w:rFonts w:ascii="Times New Roman" w:hAnsi="Times New Roman" w:cs="Times New Roman"/>
          <w:lang w:val="en-US"/>
        </w:rPr>
        <w:t>”</w:t>
      </w:r>
      <w:r w:rsidR="003C6166" w:rsidRPr="004F2B59">
        <w:rPr>
          <w:rStyle w:val="FootnoteReference"/>
          <w:rFonts w:ascii="Times New Roman" w:hAnsi="Times New Roman" w:cs="Times New Roman"/>
          <w:lang w:val="en-US"/>
        </w:rPr>
        <w:footnoteReference w:id="76"/>
      </w:r>
      <w:r w:rsidR="00FC6D8C" w:rsidRPr="004F2B59">
        <w:rPr>
          <w:rFonts w:ascii="Times New Roman" w:hAnsi="Times New Roman" w:cs="Times New Roman"/>
          <w:lang w:val="en-US"/>
        </w:rPr>
        <w:t xml:space="preserve"> This judgement of the special court was upheld by the High Court of Delhi as it found the opinion of trial court “</w:t>
      </w:r>
      <w:r w:rsidR="00FC6D8C" w:rsidRPr="004F2B59">
        <w:rPr>
          <w:rFonts w:ascii="Times New Roman" w:hAnsi="Times New Roman" w:cs="Times New Roman"/>
          <w:i/>
          <w:iCs/>
          <w:lang w:val="en-US"/>
        </w:rPr>
        <w:t>reasonable andprobable</w:t>
      </w:r>
      <w:r w:rsidR="00FC6D8C" w:rsidRPr="004F2B59">
        <w:rPr>
          <w:rFonts w:ascii="Times New Roman" w:hAnsi="Times New Roman" w:cs="Times New Roman"/>
          <w:lang w:val="en-US"/>
        </w:rPr>
        <w:t>.”</w:t>
      </w:r>
      <w:r w:rsidR="00FC6D8C" w:rsidRPr="004F2B59">
        <w:rPr>
          <w:rStyle w:val="FootnoteReference"/>
          <w:rFonts w:ascii="Times New Roman" w:hAnsi="Times New Roman" w:cs="Times New Roman"/>
          <w:lang w:val="en-US"/>
        </w:rPr>
        <w:footnoteReference w:id="77"/>
      </w:r>
    </w:p>
    <w:p w:rsidR="0082202E" w:rsidRPr="004F2B59" w:rsidRDefault="0082202E"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In</w:t>
      </w:r>
      <w:r w:rsidR="000B25CE" w:rsidRPr="004F2B59">
        <w:rPr>
          <w:rFonts w:ascii="Times New Roman" w:hAnsi="Times New Roman" w:cs="Times New Roman"/>
          <w:lang w:val="en-US"/>
        </w:rPr>
        <w:t xml:space="preserve"> another case,</w:t>
      </w:r>
      <w:r w:rsidRPr="004F2B59">
        <w:rPr>
          <w:rFonts w:ascii="Times New Roman" w:hAnsi="Times New Roman" w:cs="Times New Roman"/>
          <w:i/>
          <w:iCs/>
          <w:lang w:val="en-US"/>
        </w:rPr>
        <w:t>State v. AkhileshHarichandra Mishra</w:t>
      </w:r>
      <w:r w:rsidR="001267C9" w:rsidRPr="004F2B59">
        <w:rPr>
          <w:rFonts w:ascii="Times New Roman" w:hAnsi="Times New Roman" w:cs="Times New Roman"/>
          <w:i/>
          <w:iCs/>
          <w:lang w:val="en-US"/>
        </w:rPr>
        <w:t>,</w:t>
      </w:r>
      <w:r w:rsidRPr="004F2B59">
        <w:rPr>
          <w:rStyle w:val="FootnoteReference"/>
          <w:rFonts w:ascii="Times New Roman" w:hAnsi="Times New Roman" w:cs="Times New Roman"/>
          <w:lang w:val="en-US"/>
        </w:rPr>
        <w:footnoteReference w:id="78"/>
      </w:r>
      <w:r w:rsidR="001267C9" w:rsidRPr="004F2B59">
        <w:rPr>
          <w:rFonts w:ascii="Times New Roman" w:hAnsi="Times New Roman" w:cs="Times New Roman"/>
          <w:lang w:val="en-US"/>
        </w:rPr>
        <w:t xml:space="preserve">the victim, a </w:t>
      </w:r>
      <w:r w:rsidR="00B45ACA" w:rsidRPr="004F2B59">
        <w:rPr>
          <w:rFonts w:ascii="Times New Roman" w:hAnsi="Times New Roman" w:cs="Times New Roman"/>
          <w:lang w:val="en-US"/>
        </w:rPr>
        <w:t>15-year-old</w:t>
      </w:r>
      <w:r w:rsidR="001267C9" w:rsidRPr="004F2B59">
        <w:rPr>
          <w:rFonts w:ascii="Times New Roman" w:hAnsi="Times New Roman" w:cs="Times New Roman"/>
          <w:lang w:val="en-US"/>
        </w:rPr>
        <w:t xml:space="preserve"> girl and the accused had not just eloped and got married but also had a child during the pendency of the trial and was born before the trial was completed.</w:t>
      </w:r>
      <w:r w:rsidR="00F97D69" w:rsidRPr="004F2B59">
        <w:rPr>
          <w:rFonts w:ascii="Times New Roman" w:hAnsi="Times New Roman" w:cs="Times New Roman"/>
          <w:lang w:val="en-US"/>
        </w:rPr>
        <w:t>The victim admitted to marrying the accused voluntarily and being happy in that marriage. Rejecting the contention</w:t>
      </w:r>
      <w:r w:rsidR="006F10AE" w:rsidRPr="004F2B59">
        <w:rPr>
          <w:rFonts w:ascii="Times New Roman" w:hAnsi="Times New Roman" w:cs="Times New Roman"/>
          <w:lang w:val="en-US"/>
        </w:rPr>
        <w:t xml:space="preserve"> of the prosecution</w:t>
      </w:r>
      <w:r w:rsidR="00F97D69" w:rsidRPr="004F2B59">
        <w:rPr>
          <w:rFonts w:ascii="Times New Roman" w:hAnsi="Times New Roman" w:cs="Times New Roman"/>
          <w:lang w:val="en-US"/>
        </w:rPr>
        <w:t xml:space="preserve"> that consent of a child/minor was irrelevant in the POCSO Act held that “</w:t>
      </w:r>
      <w:r w:rsidR="00F97D69" w:rsidRPr="004F2B59">
        <w:rPr>
          <w:rFonts w:ascii="Times New Roman" w:hAnsi="Times New Roman" w:cs="Times New Roman"/>
          <w:i/>
          <w:iCs/>
          <w:lang w:val="en-US"/>
        </w:rPr>
        <w:t>if the girl is enough mature to understand the consequences of her consensual physical relations with the partner, then the boy cannot be held alone guilty of having sex with the girl though not attained majority.</w:t>
      </w:r>
      <w:r w:rsidR="00F97D69" w:rsidRPr="004F2B59">
        <w:rPr>
          <w:rFonts w:ascii="Times New Roman" w:hAnsi="Times New Roman" w:cs="Times New Roman"/>
          <w:lang w:val="en-US"/>
        </w:rPr>
        <w:t>”</w:t>
      </w:r>
      <w:r w:rsidR="00F97D69" w:rsidRPr="004F2B59">
        <w:rPr>
          <w:rStyle w:val="FootnoteReference"/>
          <w:rFonts w:ascii="Times New Roman" w:hAnsi="Times New Roman" w:cs="Times New Roman"/>
          <w:lang w:val="en-US"/>
        </w:rPr>
        <w:footnoteReference w:id="79"/>
      </w:r>
      <w:r w:rsidR="006F10AE" w:rsidRPr="004F2B59">
        <w:rPr>
          <w:rFonts w:ascii="Times New Roman" w:hAnsi="Times New Roman" w:cs="Times New Roman"/>
          <w:lang w:val="en-US"/>
        </w:rPr>
        <w:t xml:space="preserve"> The accused was acquitted since the</w:t>
      </w:r>
      <w:r w:rsidR="00DB394F" w:rsidRPr="004F2B59">
        <w:rPr>
          <w:rFonts w:ascii="Times New Roman" w:hAnsi="Times New Roman" w:cs="Times New Roman"/>
          <w:lang w:val="en-US"/>
        </w:rPr>
        <w:t xml:space="preserve"> Special C</w:t>
      </w:r>
      <w:r w:rsidR="006F10AE" w:rsidRPr="004F2B59">
        <w:rPr>
          <w:rFonts w:ascii="Times New Roman" w:hAnsi="Times New Roman" w:cs="Times New Roman"/>
          <w:lang w:val="en-US"/>
        </w:rPr>
        <w:t>ourt</w:t>
      </w:r>
      <w:r w:rsidR="00DB394F" w:rsidRPr="004F2B59">
        <w:rPr>
          <w:rFonts w:ascii="Times New Roman" w:hAnsi="Times New Roman" w:cs="Times New Roman"/>
          <w:lang w:val="en-US"/>
        </w:rPr>
        <w:t xml:space="preserve"> in Thane</w:t>
      </w:r>
      <w:r w:rsidR="006F10AE" w:rsidRPr="004F2B59">
        <w:rPr>
          <w:rFonts w:ascii="Times New Roman" w:hAnsi="Times New Roman" w:cs="Times New Roman"/>
          <w:lang w:val="en-US"/>
        </w:rPr>
        <w:t xml:space="preserve"> found no reason to punish them as they were enjoying a happily married life with each other. </w:t>
      </w:r>
      <w:r w:rsidR="00DB394F" w:rsidRPr="004F2B59">
        <w:rPr>
          <w:rFonts w:ascii="Times New Roman" w:hAnsi="Times New Roman" w:cs="Times New Roman"/>
          <w:lang w:val="en-US"/>
        </w:rPr>
        <w:t xml:space="preserve">Similar reasoningwas applied in </w:t>
      </w:r>
      <w:r w:rsidR="00A529A3" w:rsidRPr="004F2B59">
        <w:rPr>
          <w:rFonts w:ascii="Times New Roman" w:hAnsi="Times New Roman" w:cs="Times New Roman"/>
          <w:i/>
          <w:iCs/>
          <w:lang w:val="en-US"/>
        </w:rPr>
        <w:t>State v. SachinGotiramKedar</w:t>
      </w:r>
      <w:r w:rsidR="00A529A3" w:rsidRPr="004F2B59">
        <w:rPr>
          <w:rStyle w:val="FootnoteReference"/>
          <w:rFonts w:ascii="Times New Roman" w:hAnsi="Times New Roman" w:cs="Times New Roman"/>
          <w:i/>
          <w:iCs/>
          <w:lang w:val="en-US"/>
        </w:rPr>
        <w:footnoteReference w:id="80"/>
      </w:r>
      <w:r w:rsidR="00A529A3" w:rsidRPr="004F2B59">
        <w:rPr>
          <w:rFonts w:ascii="Times New Roman" w:hAnsi="Times New Roman" w:cs="Times New Roman"/>
          <w:lang w:val="en-US"/>
        </w:rPr>
        <w:t xml:space="preserve">and </w:t>
      </w:r>
      <w:r w:rsidR="00A529A3" w:rsidRPr="004F2B59">
        <w:rPr>
          <w:rFonts w:ascii="Times New Roman" w:hAnsi="Times New Roman" w:cs="Times New Roman"/>
          <w:i/>
          <w:iCs/>
          <w:lang w:val="en-US"/>
        </w:rPr>
        <w:t>State v. Rupesh@BantiBajiraoMokal</w:t>
      </w:r>
      <w:r w:rsidR="00A529A3" w:rsidRPr="004F2B59">
        <w:rPr>
          <w:rStyle w:val="FootnoteReference"/>
          <w:rFonts w:ascii="Times New Roman" w:hAnsi="Times New Roman" w:cs="Times New Roman"/>
          <w:i/>
          <w:iCs/>
          <w:lang w:val="en-US"/>
        </w:rPr>
        <w:footnoteReference w:id="81"/>
      </w:r>
      <w:r w:rsidR="00A529A3" w:rsidRPr="004F2B59">
        <w:rPr>
          <w:rFonts w:ascii="Times New Roman" w:hAnsi="Times New Roman" w:cs="Times New Roman"/>
          <w:lang w:val="en-US"/>
        </w:rPr>
        <w:t xml:space="preserve"> where the victims were above 17 years but still a few months short of majority. In both the cases, the girl agreed to having sexual intercourse with the victim voluntarily and the courts held that they were old enough to understand the consequences of their action</w:t>
      </w:r>
      <w:r w:rsidR="009624E5" w:rsidRPr="004F2B59">
        <w:rPr>
          <w:rFonts w:ascii="Times New Roman" w:hAnsi="Times New Roman" w:cs="Times New Roman"/>
          <w:lang w:val="en-US"/>
        </w:rPr>
        <w:t>.</w:t>
      </w:r>
      <w:r w:rsidR="0061112C" w:rsidRPr="004F2B59">
        <w:rPr>
          <w:rFonts w:ascii="Times New Roman" w:hAnsi="Times New Roman" w:cs="Times New Roman"/>
          <w:lang w:val="en-US"/>
        </w:rPr>
        <w:t xml:space="preserve">Further, in </w:t>
      </w:r>
      <w:r w:rsidR="0061112C" w:rsidRPr="004F2B59">
        <w:rPr>
          <w:rFonts w:ascii="Times New Roman" w:hAnsi="Times New Roman" w:cs="Times New Roman"/>
          <w:i/>
          <w:iCs/>
          <w:lang w:val="en-US"/>
        </w:rPr>
        <w:t>State v. Saidul Ali</w:t>
      </w:r>
      <w:r w:rsidR="0061112C" w:rsidRPr="004F2B59">
        <w:rPr>
          <w:rStyle w:val="FootnoteReference"/>
          <w:rFonts w:ascii="Times New Roman" w:hAnsi="Times New Roman" w:cs="Times New Roman"/>
          <w:lang w:val="en-US"/>
        </w:rPr>
        <w:footnoteReference w:id="82"/>
      </w:r>
      <w:r w:rsidR="0061112C" w:rsidRPr="004F2B59">
        <w:rPr>
          <w:rFonts w:ascii="Times New Roman" w:hAnsi="Times New Roman" w:cs="Times New Roman"/>
          <w:lang w:val="en-US"/>
        </w:rPr>
        <w:t>, another case dealing with elopement and marriage between two minors</w:t>
      </w:r>
      <w:r w:rsidR="00786483" w:rsidRPr="004F2B59">
        <w:rPr>
          <w:rFonts w:ascii="Times New Roman" w:hAnsi="Times New Roman" w:cs="Times New Roman"/>
          <w:lang w:val="en-US"/>
        </w:rPr>
        <w:t xml:space="preserve">, the accused was acquitted as the court concluded that though the girl had not achieved the age of majority, she had achieved the age of discretion. It was held by the Special Court in the state of Assam that she had developed the capacity to understand the nature of her act. </w:t>
      </w:r>
      <w:r w:rsidR="0027528C" w:rsidRPr="004F2B59">
        <w:rPr>
          <w:rFonts w:ascii="Times New Roman" w:hAnsi="Times New Roman" w:cs="Times New Roman"/>
          <w:lang w:val="en-US"/>
        </w:rPr>
        <w:t xml:space="preserve">Similarly, in another case from Assam, </w:t>
      </w:r>
      <w:r w:rsidR="0027528C" w:rsidRPr="004F2B59">
        <w:rPr>
          <w:rFonts w:ascii="Times New Roman" w:hAnsi="Times New Roman" w:cs="Times New Roman"/>
          <w:i/>
          <w:iCs/>
          <w:lang w:val="en-US"/>
        </w:rPr>
        <w:t>State v. Riki Bora</w:t>
      </w:r>
      <w:r w:rsidR="0027528C" w:rsidRPr="004F2B59">
        <w:rPr>
          <w:rStyle w:val="FootnoteReference"/>
          <w:rFonts w:ascii="Times New Roman" w:hAnsi="Times New Roman" w:cs="Times New Roman"/>
          <w:i/>
          <w:iCs/>
          <w:lang w:val="en-US"/>
        </w:rPr>
        <w:footnoteReference w:id="83"/>
      </w:r>
      <w:r w:rsidR="0027528C" w:rsidRPr="004F2B59">
        <w:rPr>
          <w:rFonts w:ascii="Times New Roman" w:hAnsi="Times New Roman" w:cs="Times New Roman"/>
          <w:lang w:val="en-US"/>
        </w:rPr>
        <w:t>, the Special court</w:t>
      </w:r>
      <w:r w:rsidR="00B959A3" w:rsidRPr="004F2B59">
        <w:rPr>
          <w:rFonts w:ascii="Times New Roman" w:hAnsi="Times New Roman" w:cs="Times New Roman"/>
          <w:lang w:val="en-US"/>
        </w:rPr>
        <w:t xml:space="preserve"> in Assam</w:t>
      </w:r>
      <w:r w:rsidR="0027528C" w:rsidRPr="004F2B59">
        <w:rPr>
          <w:rFonts w:ascii="Times New Roman" w:hAnsi="Times New Roman" w:cs="Times New Roman"/>
          <w:lang w:val="en-US"/>
        </w:rPr>
        <w:t xml:space="preserve"> acquitted the </w:t>
      </w:r>
      <w:r w:rsidR="0027528C" w:rsidRPr="004F2B59">
        <w:rPr>
          <w:rFonts w:ascii="Times New Roman" w:hAnsi="Times New Roman" w:cs="Times New Roman"/>
          <w:lang w:val="en-US"/>
        </w:rPr>
        <w:lastRenderedPageBreak/>
        <w:t xml:space="preserve">accused on the ground that the victim was in a relationship with the accused and that she had eloped with her voluntarily. It was held that even though she wasn’t a major, she was on the cusp of attaining it. </w:t>
      </w:r>
    </w:p>
    <w:p w:rsidR="004B58B2" w:rsidRPr="004F2B59" w:rsidRDefault="000B25CE"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Thus</w:t>
      </w:r>
      <w:r w:rsidR="00331DA4" w:rsidRPr="004F2B59">
        <w:rPr>
          <w:rFonts w:ascii="Times New Roman" w:hAnsi="Times New Roman" w:cs="Times New Roman"/>
          <w:lang w:val="en-US"/>
        </w:rPr>
        <w:t>,</w:t>
      </w:r>
      <w:r w:rsidRPr="004F2B59">
        <w:rPr>
          <w:rFonts w:ascii="Times New Roman" w:hAnsi="Times New Roman" w:cs="Times New Roman"/>
          <w:lang w:val="en-US"/>
        </w:rPr>
        <w:t xml:space="preserve"> it can be observed that the </w:t>
      </w:r>
      <w:r w:rsidR="00966496" w:rsidRPr="004F2B59">
        <w:rPr>
          <w:rFonts w:ascii="Times New Roman" w:hAnsi="Times New Roman" w:cs="Times New Roman"/>
          <w:lang w:val="en-US"/>
        </w:rPr>
        <w:t>grounds for lenient and liberal construction of t</w:t>
      </w:r>
      <w:r w:rsidRPr="004F2B59">
        <w:rPr>
          <w:rFonts w:ascii="Times New Roman" w:hAnsi="Times New Roman" w:cs="Times New Roman"/>
          <w:lang w:val="en-US"/>
        </w:rPr>
        <w:t>he Act by the Special Courts are</w:t>
      </w:r>
      <w:r w:rsidR="00966496" w:rsidRPr="004F2B59">
        <w:rPr>
          <w:rFonts w:ascii="Times New Roman" w:hAnsi="Times New Roman" w:cs="Times New Roman"/>
          <w:lang w:val="en-US"/>
        </w:rPr>
        <w:t xml:space="preserve"> primarily due to practical considerations cons</w:t>
      </w:r>
      <w:r w:rsidRPr="004F2B59">
        <w:rPr>
          <w:rFonts w:ascii="Times New Roman" w:hAnsi="Times New Roman" w:cs="Times New Roman"/>
          <w:lang w:val="en-US"/>
        </w:rPr>
        <w:t xml:space="preserve">idering the society we live in where it is an established fact that institution </w:t>
      </w:r>
      <w:r w:rsidR="00980023" w:rsidRPr="004F2B59">
        <w:rPr>
          <w:rFonts w:ascii="Times New Roman" w:hAnsi="Times New Roman" w:cs="Times New Roman"/>
          <w:lang w:val="en-US"/>
        </w:rPr>
        <w:t>of marriage</w:t>
      </w:r>
      <w:r w:rsidR="00966496" w:rsidRPr="004F2B59">
        <w:rPr>
          <w:rFonts w:ascii="Times New Roman" w:hAnsi="Times New Roman" w:cs="Times New Roman"/>
          <w:lang w:val="en-US"/>
        </w:rPr>
        <w:t xml:space="preserve"> provides legitimacy to a relationship. It provides social acceptance to a woman and her child and prevents them from secondary victimization</w:t>
      </w:r>
      <w:r w:rsidR="00B86AF9" w:rsidRPr="004F2B59">
        <w:rPr>
          <w:rFonts w:ascii="Times New Roman" w:hAnsi="Times New Roman" w:cs="Times New Roman"/>
          <w:lang w:val="en-US"/>
        </w:rPr>
        <w:t xml:space="preserve"> from the society</w:t>
      </w:r>
      <w:r w:rsidR="00DB28EA" w:rsidRPr="004F2B59">
        <w:rPr>
          <w:rFonts w:ascii="Times New Roman" w:hAnsi="Times New Roman" w:cs="Times New Roman"/>
          <w:lang w:val="en-US"/>
        </w:rPr>
        <w:t>.</w:t>
      </w:r>
      <w:r w:rsidR="00C552B5" w:rsidRPr="004F2B59">
        <w:rPr>
          <w:rFonts w:ascii="Times New Roman" w:hAnsi="Times New Roman" w:cs="Times New Roman"/>
          <w:lang w:val="en-US"/>
        </w:rPr>
        <w:t>Another important</w:t>
      </w:r>
      <w:r w:rsidR="006A0F45" w:rsidRPr="004F2B59">
        <w:rPr>
          <w:rFonts w:ascii="Times New Roman" w:hAnsi="Times New Roman" w:cs="Times New Roman"/>
          <w:lang w:val="en-US"/>
        </w:rPr>
        <w:t xml:space="preserve"> judgement in this context is that of </w:t>
      </w:r>
      <w:r w:rsidR="006A0F45" w:rsidRPr="004F2B59">
        <w:rPr>
          <w:rFonts w:ascii="Times New Roman" w:hAnsi="Times New Roman" w:cs="Times New Roman"/>
          <w:i/>
          <w:iCs/>
          <w:lang w:val="en-US"/>
        </w:rPr>
        <w:t>State v. Parhlad</w:t>
      </w:r>
      <w:r w:rsidR="006A0F45" w:rsidRPr="004F2B59">
        <w:rPr>
          <w:rStyle w:val="FootnoteReference"/>
          <w:rFonts w:ascii="Times New Roman" w:hAnsi="Times New Roman" w:cs="Times New Roman"/>
          <w:lang w:val="en-US"/>
        </w:rPr>
        <w:footnoteReference w:id="84"/>
      </w:r>
      <w:r w:rsidR="00E621EE" w:rsidRPr="004F2B59">
        <w:rPr>
          <w:rFonts w:ascii="Times New Roman" w:hAnsi="Times New Roman" w:cs="Times New Roman"/>
          <w:lang w:val="en-US"/>
        </w:rPr>
        <w:t>from Delhi,</w:t>
      </w:r>
      <w:r w:rsidR="006A0F45" w:rsidRPr="004F2B59">
        <w:rPr>
          <w:rFonts w:ascii="Times New Roman" w:hAnsi="Times New Roman" w:cs="Times New Roman"/>
          <w:lang w:val="en-US"/>
        </w:rPr>
        <w:t xml:space="preserve"> where a 17-year-old girl had eloped with the accused and eventually got married. However, the marriage was held invalid as the essential ceremonies had not been performed</w:t>
      </w:r>
      <w:r w:rsidR="00396838" w:rsidRPr="004F2B59">
        <w:rPr>
          <w:rFonts w:ascii="Times New Roman" w:hAnsi="Times New Roman" w:cs="Times New Roman"/>
          <w:lang w:val="en-US"/>
        </w:rPr>
        <w:t>.</w:t>
      </w:r>
      <w:r w:rsidR="006A0F45" w:rsidRPr="004F2B59">
        <w:rPr>
          <w:rFonts w:ascii="Times New Roman" w:hAnsi="Times New Roman" w:cs="Times New Roman"/>
          <w:lang w:val="en-US"/>
        </w:rPr>
        <w:t xml:space="preserve">In her testimony during the trial, she </w:t>
      </w:r>
      <w:r w:rsidR="0028339C" w:rsidRPr="004F2B59">
        <w:rPr>
          <w:rFonts w:ascii="Times New Roman" w:hAnsi="Times New Roman" w:cs="Times New Roman"/>
          <w:lang w:val="en-US"/>
        </w:rPr>
        <w:t>confirmed that</w:t>
      </w:r>
      <w:r w:rsidR="00396838" w:rsidRPr="004F2B59">
        <w:rPr>
          <w:rFonts w:ascii="Times New Roman" w:hAnsi="Times New Roman" w:cs="Times New Roman"/>
          <w:lang w:val="en-US"/>
        </w:rPr>
        <w:t xml:space="preserve"> she was in a love affair with the accused and that</w:t>
      </w:r>
      <w:r w:rsidR="0028339C" w:rsidRPr="004F2B59">
        <w:rPr>
          <w:rFonts w:ascii="Times New Roman" w:hAnsi="Times New Roman" w:cs="Times New Roman"/>
          <w:lang w:val="en-US"/>
        </w:rPr>
        <w:t xml:space="preserve"> she went with </w:t>
      </w:r>
      <w:r w:rsidR="00396838" w:rsidRPr="004F2B59">
        <w:rPr>
          <w:rFonts w:ascii="Times New Roman" w:hAnsi="Times New Roman" w:cs="Times New Roman"/>
          <w:lang w:val="en-US"/>
        </w:rPr>
        <w:t>him</w:t>
      </w:r>
      <w:r w:rsidR="0028339C" w:rsidRPr="004F2B59">
        <w:rPr>
          <w:rFonts w:ascii="Times New Roman" w:hAnsi="Times New Roman" w:cs="Times New Roman"/>
          <w:lang w:val="en-US"/>
        </w:rPr>
        <w:t xml:space="preserve"> willingly. </w:t>
      </w:r>
      <w:r w:rsidR="00A168AB" w:rsidRPr="004F2B59">
        <w:rPr>
          <w:rFonts w:ascii="Times New Roman" w:hAnsi="Times New Roman" w:cs="Times New Roman"/>
          <w:lang w:val="en-US"/>
        </w:rPr>
        <w:t>W</w:t>
      </w:r>
      <w:r w:rsidR="00FF43C8" w:rsidRPr="004F2B59">
        <w:rPr>
          <w:rFonts w:ascii="Times New Roman" w:hAnsi="Times New Roman" w:cs="Times New Roman"/>
          <w:lang w:val="en-US"/>
        </w:rPr>
        <w:t>hen she attained the age of majority</w:t>
      </w:r>
      <w:r w:rsidR="00A168AB" w:rsidRPr="004F2B59">
        <w:rPr>
          <w:rFonts w:ascii="Times New Roman" w:hAnsi="Times New Roman" w:cs="Times New Roman"/>
          <w:lang w:val="en-US"/>
        </w:rPr>
        <w:t>, she</w:t>
      </w:r>
      <w:r w:rsidR="00FF43C8" w:rsidRPr="004F2B59">
        <w:rPr>
          <w:rFonts w:ascii="Times New Roman" w:hAnsi="Times New Roman" w:cs="Times New Roman"/>
          <w:lang w:val="en-US"/>
        </w:rPr>
        <w:t xml:space="preserve"> subsequently married the accused</w:t>
      </w:r>
      <w:r w:rsidR="00EF3099" w:rsidRPr="004F2B59">
        <w:rPr>
          <w:rFonts w:ascii="Times New Roman" w:hAnsi="Times New Roman" w:cs="Times New Roman"/>
          <w:lang w:val="en-US"/>
        </w:rPr>
        <w:t xml:space="preserve"> and became pregnant with his child</w:t>
      </w:r>
      <w:r w:rsidR="00FF43C8" w:rsidRPr="004F2B59">
        <w:rPr>
          <w:rFonts w:ascii="Times New Roman" w:hAnsi="Times New Roman" w:cs="Times New Roman"/>
          <w:lang w:val="en-US"/>
        </w:rPr>
        <w:t>. As the prosecution was able</w:t>
      </w:r>
      <w:r w:rsidR="00A168AB" w:rsidRPr="004F2B59">
        <w:rPr>
          <w:rFonts w:ascii="Times New Roman" w:hAnsi="Times New Roman" w:cs="Times New Roman"/>
          <w:lang w:val="en-US"/>
        </w:rPr>
        <w:t xml:space="preserve"> to</w:t>
      </w:r>
      <w:r w:rsidR="00FF43C8" w:rsidRPr="004F2B59">
        <w:rPr>
          <w:rFonts w:ascii="Times New Roman" w:hAnsi="Times New Roman" w:cs="Times New Roman"/>
          <w:lang w:val="en-US"/>
        </w:rPr>
        <w:t xml:space="preserve"> conclusively prove the minority of the victim at the time of marriage, </w:t>
      </w:r>
      <w:r w:rsidR="00396838" w:rsidRPr="004F2B59">
        <w:rPr>
          <w:rFonts w:ascii="Times New Roman" w:hAnsi="Times New Roman" w:cs="Times New Roman"/>
          <w:lang w:val="en-US"/>
        </w:rPr>
        <w:t>the accused was charged for aggressive penetrative sexual assault under section 5 and found guilty under section 6 of the Act.</w:t>
      </w:r>
      <w:r w:rsidR="000C3E88" w:rsidRPr="004F2B59">
        <w:rPr>
          <w:rFonts w:ascii="Times New Roman" w:hAnsi="Times New Roman" w:cs="Times New Roman"/>
          <w:lang w:val="en-US"/>
        </w:rPr>
        <w:t xml:space="preserve"> The court acknowledged that consent was immaterial according to the mandate of the POCSO Act. However, t</w:t>
      </w:r>
      <w:r w:rsidR="00CE2559" w:rsidRPr="004F2B59">
        <w:rPr>
          <w:rFonts w:ascii="Times New Roman" w:hAnsi="Times New Roman" w:cs="Times New Roman"/>
          <w:lang w:val="en-US"/>
        </w:rPr>
        <w:t xml:space="preserve">he interesting thing to note here is that while the minimum punishment under the provision is 10 years imprisonment, the court sentenced the accused only for the time served during the trial </w:t>
      </w:r>
      <w:r w:rsidR="00B405F2" w:rsidRPr="004F2B59">
        <w:rPr>
          <w:rFonts w:ascii="Times New Roman" w:hAnsi="Times New Roman" w:cs="Times New Roman"/>
          <w:lang w:val="en-US"/>
        </w:rPr>
        <w:t>considering</w:t>
      </w:r>
      <w:r w:rsidR="00CE2559" w:rsidRPr="004F2B59">
        <w:rPr>
          <w:rFonts w:ascii="Times New Roman" w:hAnsi="Times New Roman" w:cs="Times New Roman"/>
          <w:lang w:val="en-US"/>
        </w:rPr>
        <w:t xml:space="preserve"> the mitigating factors in his favor. </w:t>
      </w:r>
      <w:r w:rsidR="00B405F2" w:rsidRPr="004F2B59">
        <w:rPr>
          <w:rFonts w:ascii="Times New Roman" w:hAnsi="Times New Roman" w:cs="Times New Roman"/>
          <w:lang w:val="en-US"/>
        </w:rPr>
        <w:t>According to them, the conduct of the accused showed that he was interested in a long-term relationship with the victim and did not just act out of lust.</w:t>
      </w:r>
      <w:r w:rsidR="000C3E88" w:rsidRPr="004F2B59">
        <w:rPr>
          <w:rFonts w:ascii="Times New Roman" w:hAnsi="Times New Roman" w:cs="Times New Roman"/>
          <w:lang w:val="en-US"/>
        </w:rPr>
        <w:t xml:space="preserve"> Moreover, the fact that the couple got married before committing sexual intercourse and then marrying again after the victim was released from Children’s home showed that they were both serious for each other. </w:t>
      </w:r>
    </w:p>
    <w:p w:rsidR="00166566" w:rsidRDefault="000B25CE"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Thus</w:t>
      </w:r>
      <w:r w:rsidR="00C552B5" w:rsidRPr="004F2B59">
        <w:rPr>
          <w:rFonts w:ascii="Times New Roman" w:hAnsi="Times New Roman" w:cs="Times New Roman"/>
          <w:lang w:val="en-US"/>
        </w:rPr>
        <w:t>,</w:t>
      </w:r>
      <w:r w:rsidRPr="004F2B59">
        <w:rPr>
          <w:rFonts w:ascii="Times New Roman" w:hAnsi="Times New Roman" w:cs="Times New Roman"/>
          <w:lang w:val="en-US"/>
        </w:rPr>
        <w:t xml:space="preserve"> the </w:t>
      </w:r>
      <w:r w:rsidR="00C552B5" w:rsidRPr="004F2B59">
        <w:rPr>
          <w:rFonts w:ascii="Times New Roman" w:hAnsi="Times New Roman" w:cs="Times New Roman"/>
          <w:lang w:val="en-US"/>
        </w:rPr>
        <w:t>above-mentionedcases portray</w:t>
      </w:r>
      <w:r w:rsidR="008739F1" w:rsidRPr="004F2B59">
        <w:rPr>
          <w:rFonts w:ascii="Times New Roman" w:hAnsi="Times New Roman" w:cs="Times New Roman"/>
          <w:lang w:val="en-US"/>
        </w:rPr>
        <w:t xml:space="preserve"> the liberal approach </w:t>
      </w:r>
      <w:r w:rsidR="008C702F" w:rsidRPr="004F2B59">
        <w:rPr>
          <w:rFonts w:ascii="Times New Roman" w:hAnsi="Times New Roman" w:cs="Times New Roman"/>
          <w:lang w:val="en-US"/>
        </w:rPr>
        <w:t xml:space="preserve">that Special courts have taken across various states in India. While it is </w:t>
      </w:r>
      <w:r w:rsidR="008C702F" w:rsidRPr="004F2B59">
        <w:rPr>
          <w:rFonts w:ascii="Times New Roman" w:hAnsi="Times New Roman" w:cs="Times New Roman"/>
          <w:lang w:val="en-US"/>
        </w:rPr>
        <w:lastRenderedPageBreak/>
        <w:t xml:space="preserve">important to keep a sensitive approach to cases under the act and understand the emotional volatility and mental fragility of youth in taking decisions and acknowledging the sexuality of young adolescents, it is also important that the courts keep in mind the circumstances of consent in each case. </w:t>
      </w:r>
      <w:r w:rsidR="007A4719" w:rsidRPr="004F2B59">
        <w:rPr>
          <w:rFonts w:ascii="Times New Roman" w:hAnsi="Times New Roman" w:cs="Times New Roman"/>
          <w:lang w:val="en-US"/>
        </w:rPr>
        <w:t>T</w:t>
      </w:r>
      <w:r w:rsidR="008C702F" w:rsidRPr="004F2B59">
        <w:rPr>
          <w:rFonts w:ascii="Times New Roman" w:hAnsi="Times New Roman" w:cs="Times New Roman"/>
          <w:lang w:val="en-US"/>
        </w:rPr>
        <w:t xml:space="preserve">here can be many reasons as to why a victim consents to </w:t>
      </w:r>
      <w:r w:rsidR="007A4719" w:rsidRPr="004F2B59">
        <w:rPr>
          <w:rFonts w:ascii="Times New Roman" w:hAnsi="Times New Roman" w:cs="Times New Roman"/>
          <w:lang w:val="en-US"/>
        </w:rPr>
        <w:t>marrying the accused</w:t>
      </w:r>
      <w:r w:rsidR="000F68EF" w:rsidRPr="004F2B59">
        <w:rPr>
          <w:rFonts w:ascii="Times New Roman" w:hAnsi="Times New Roman" w:cs="Times New Roman"/>
          <w:lang w:val="en-US"/>
        </w:rPr>
        <w:t xml:space="preserve"> like societal </w:t>
      </w:r>
      <w:r w:rsidR="000F68EF" w:rsidRPr="004F2B59">
        <w:rPr>
          <w:rStyle w:val="SubtleEmphasis"/>
          <w:rFonts w:ascii="Times New Roman" w:hAnsi="Times New Roman" w:cs="Times New Roman"/>
          <w:i w:val="0"/>
          <w:iCs w:val="0"/>
          <w:color w:val="auto"/>
        </w:rPr>
        <w:t>pressure</w:t>
      </w:r>
      <w:r w:rsidR="000F68EF" w:rsidRPr="004F2B59">
        <w:rPr>
          <w:rFonts w:ascii="Times New Roman" w:hAnsi="Times New Roman" w:cs="Times New Roman"/>
          <w:lang w:val="en-US"/>
        </w:rPr>
        <w:t>, coercion or secondary victimization after being raped by the accused.</w:t>
      </w:r>
      <w:r w:rsidR="000F68EF" w:rsidRPr="004F2B59">
        <w:rPr>
          <w:rStyle w:val="FootnoteReference"/>
          <w:rFonts w:ascii="Times New Roman" w:hAnsi="Times New Roman" w:cs="Times New Roman"/>
          <w:lang w:val="en-US"/>
        </w:rPr>
        <w:footnoteReference w:id="85"/>
      </w:r>
      <w:r w:rsidR="000F68EF" w:rsidRPr="004F2B59">
        <w:rPr>
          <w:rFonts w:ascii="Times New Roman" w:hAnsi="Times New Roman" w:cs="Times New Roman"/>
          <w:lang w:val="en-US"/>
        </w:rPr>
        <w:t xml:space="preserve"> There</w:t>
      </w:r>
      <w:r w:rsidR="0032087A" w:rsidRPr="004F2B59">
        <w:rPr>
          <w:rFonts w:ascii="Times New Roman" w:hAnsi="Times New Roman" w:cs="Times New Roman"/>
          <w:lang w:val="en-US"/>
        </w:rPr>
        <w:t xml:space="preserve"> are some other cases which </w:t>
      </w:r>
      <w:r w:rsidR="000F68EF" w:rsidRPr="004F2B59">
        <w:rPr>
          <w:rFonts w:ascii="Times New Roman" w:hAnsi="Times New Roman" w:cs="Times New Roman"/>
          <w:lang w:val="en-US"/>
        </w:rPr>
        <w:t>seem</w:t>
      </w:r>
      <w:r w:rsidR="0032087A" w:rsidRPr="004F2B59">
        <w:rPr>
          <w:rFonts w:ascii="Times New Roman" w:hAnsi="Times New Roman" w:cs="Times New Roman"/>
          <w:lang w:val="en-US"/>
        </w:rPr>
        <w:t xml:space="preserve"> to highlight</w:t>
      </w:r>
      <w:r w:rsidR="000F68EF" w:rsidRPr="004F2B59">
        <w:rPr>
          <w:rFonts w:ascii="Times New Roman" w:hAnsi="Times New Roman" w:cs="Times New Roman"/>
          <w:lang w:val="en-US"/>
        </w:rPr>
        <w:t xml:space="preserve"> a</w:t>
      </w:r>
      <w:r w:rsidR="0032087A" w:rsidRPr="004F2B59">
        <w:rPr>
          <w:rFonts w:ascii="Times New Roman" w:hAnsi="Times New Roman" w:cs="Times New Roman"/>
          <w:lang w:val="en-US"/>
        </w:rPr>
        <w:t>nevident</w:t>
      </w:r>
      <w:r w:rsidR="000F68EF" w:rsidRPr="004F2B59">
        <w:rPr>
          <w:rFonts w:ascii="Times New Roman" w:hAnsi="Times New Roman" w:cs="Times New Roman"/>
          <w:lang w:val="en-US"/>
        </w:rPr>
        <w:t xml:space="preserve"> lack of analysis on part of the Special Courts to investigate the nuances of consent prevailing in each case. The</w:t>
      </w:r>
      <w:r w:rsidR="00182F2E" w:rsidRPr="004F2B59">
        <w:rPr>
          <w:rFonts w:ascii="Times New Roman" w:hAnsi="Times New Roman" w:cs="Times New Roman"/>
          <w:lang w:val="en-US"/>
        </w:rPr>
        <w:t xml:space="preserve"> Special</w:t>
      </w:r>
      <w:r w:rsidR="000F68EF" w:rsidRPr="004F2B59">
        <w:rPr>
          <w:rFonts w:ascii="Times New Roman" w:hAnsi="Times New Roman" w:cs="Times New Roman"/>
          <w:lang w:val="en-US"/>
        </w:rPr>
        <w:t xml:space="preserve"> courts have used a rather blanket approach while considering romantic cases and looked at consent one-dimensionally</w:t>
      </w:r>
      <w:r w:rsidR="00182F2E" w:rsidRPr="004F2B59">
        <w:rPr>
          <w:rFonts w:ascii="Times New Roman" w:hAnsi="Times New Roman" w:cs="Times New Roman"/>
          <w:lang w:val="en-US"/>
        </w:rPr>
        <w:t>. For example</w:t>
      </w:r>
      <w:r w:rsidR="00E874E8" w:rsidRPr="004F2B59">
        <w:rPr>
          <w:rFonts w:ascii="Times New Roman" w:hAnsi="Times New Roman" w:cs="Times New Roman"/>
          <w:lang w:val="en-US"/>
        </w:rPr>
        <w:t>,</w:t>
      </w:r>
      <w:r w:rsidR="00ED2857" w:rsidRPr="004F2B59">
        <w:rPr>
          <w:rFonts w:ascii="Times New Roman" w:hAnsi="Times New Roman" w:cs="Times New Roman"/>
          <w:lang w:val="en-US"/>
        </w:rPr>
        <w:t xml:space="preserve"> where the victim ha</w:t>
      </w:r>
      <w:r w:rsidR="00182F2E" w:rsidRPr="004F2B59">
        <w:rPr>
          <w:rFonts w:ascii="Times New Roman" w:hAnsi="Times New Roman" w:cs="Times New Roman"/>
          <w:lang w:val="en-US"/>
        </w:rPr>
        <w:t>d</w:t>
      </w:r>
      <w:r w:rsidR="00ED2857" w:rsidRPr="004F2B59">
        <w:rPr>
          <w:rFonts w:ascii="Times New Roman" w:hAnsi="Times New Roman" w:cs="Times New Roman"/>
          <w:lang w:val="en-US"/>
        </w:rPr>
        <w:t xml:space="preserve"> shown </w:t>
      </w:r>
      <w:r w:rsidR="00182F2E" w:rsidRPr="004F2B59">
        <w:rPr>
          <w:rFonts w:ascii="Times New Roman" w:hAnsi="Times New Roman" w:cs="Times New Roman"/>
          <w:lang w:val="en-US"/>
        </w:rPr>
        <w:t xml:space="preserve">even </w:t>
      </w:r>
      <w:r w:rsidR="00ED2857" w:rsidRPr="004F2B59">
        <w:rPr>
          <w:rFonts w:ascii="Times New Roman" w:hAnsi="Times New Roman" w:cs="Times New Roman"/>
          <w:lang w:val="en-US"/>
        </w:rPr>
        <w:t>an iota of</w:t>
      </w:r>
      <w:r w:rsidR="00182F2E" w:rsidRPr="004F2B59">
        <w:rPr>
          <w:rFonts w:ascii="Times New Roman" w:hAnsi="Times New Roman" w:cs="Times New Roman"/>
          <w:lang w:val="en-US"/>
        </w:rPr>
        <w:t xml:space="preserve"> feelings for the accused or had met him or had any sexual activity like kissing, the court has conclude</w:t>
      </w:r>
      <w:r w:rsidR="0032087A" w:rsidRPr="004F2B59">
        <w:rPr>
          <w:rFonts w:ascii="Times New Roman" w:hAnsi="Times New Roman" w:cs="Times New Roman"/>
          <w:lang w:val="en-US"/>
        </w:rPr>
        <w:t>d</w:t>
      </w:r>
      <w:r w:rsidR="00182F2E" w:rsidRPr="004F2B59">
        <w:rPr>
          <w:rFonts w:ascii="Times New Roman" w:hAnsi="Times New Roman" w:cs="Times New Roman"/>
          <w:lang w:val="en-US"/>
        </w:rPr>
        <w:t xml:space="preserve"> that the victim had consented to sexual intercourse. An important case in that regard is from Guntur district</w:t>
      </w:r>
      <w:r w:rsidR="00A918E2" w:rsidRPr="004F2B59">
        <w:rPr>
          <w:rFonts w:ascii="Times New Roman" w:hAnsi="Times New Roman" w:cs="Times New Roman"/>
          <w:lang w:val="en-US"/>
        </w:rPr>
        <w:t xml:space="preserve"> in the state of </w:t>
      </w:r>
      <w:r w:rsidR="00182F2E" w:rsidRPr="004F2B59">
        <w:rPr>
          <w:rFonts w:ascii="Times New Roman" w:hAnsi="Times New Roman" w:cs="Times New Roman"/>
          <w:lang w:val="en-US"/>
        </w:rPr>
        <w:t xml:space="preserve">Andhra Pradesh </w:t>
      </w:r>
      <w:r w:rsidR="00E874E8" w:rsidRPr="004F2B59">
        <w:rPr>
          <w:rFonts w:ascii="Times New Roman" w:hAnsi="Times New Roman" w:cs="Times New Roman"/>
          <w:lang w:val="en-US"/>
        </w:rPr>
        <w:t xml:space="preserve">where the victim, a </w:t>
      </w:r>
      <w:r w:rsidR="00286DA7" w:rsidRPr="004F2B59">
        <w:rPr>
          <w:rFonts w:ascii="Times New Roman" w:hAnsi="Times New Roman" w:cs="Times New Roman"/>
          <w:lang w:val="en-US"/>
        </w:rPr>
        <w:t>16-year-old</w:t>
      </w:r>
      <w:r w:rsidR="00E874E8" w:rsidRPr="004F2B59">
        <w:rPr>
          <w:rFonts w:ascii="Times New Roman" w:hAnsi="Times New Roman" w:cs="Times New Roman"/>
          <w:lang w:val="en-US"/>
        </w:rPr>
        <w:t xml:space="preserve"> girl was pulled out of school by the accused</w:t>
      </w:r>
      <w:r w:rsidR="00984C14" w:rsidRPr="004F2B59">
        <w:rPr>
          <w:rFonts w:ascii="Times New Roman" w:hAnsi="Times New Roman" w:cs="Times New Roman"/>
          <w:lang w:val="en-US"/>
        </w:rPr>
        <w:t xml:space="preserve"> no.1</w:t>
      </w:r>
      <w:r w:rsidR="00E874E8" w:rsidRPr="004F2B59">
        <w:rPr>
          <w:rFonts w:ascii="Times New Roman" w:hAnsi="Times New Roman" w:cs="Times New Roman"/>
          <w:lang w:val="en-US"/>
        </w:rPr>
        <w:t xml:space="preserve"> and his two other friends</w:t>
      </w:r>
      <w:r w:rsidR="00286DA7" w:rsidRPr="004F2B59">
        <w:rPr>
          <w:rFonts w:ascii="Times New Roman" w:hAnsi="Times New Roman" w:cs="Times New Roman"/>
          <w:lang w:val="en-US"/>
        </w:rPr>
        <w:t xml:space="preserve"> on the pretext of the death of her grandfather</w:t>
      </w:r>
      <w:r w:rsidR="00E874E8" w:rsidRPr="004F2B59">
        <w:rPr>
          <w:rFonts w:ascii="Times New Roman" w:hAnsi="Times New Roman" w:cs="Times New Roman"/>
          <w:lang w:val="en-US"/>
        </w:rPr>
        <w:t>.</w:t>
      </w:r>
      <w:r w:rsidR="00286DA7" w:rsidRPr="004F2B59">
        <w:rPr>
          <w:rFonts w:ascii="Times New Roman" w:hAnsi="Times New Roman" w:cs="Times New Roman"/>
          <w:lang w:val="en-US"/>
        </w:rPr>
        <w:t xml:space="preserve"> The </w:t>
      </w:r>
      <w:r w:rsidR="00984C14" w:rsidRPr="004F2B59">
        <w:rPr>
          <w:rFonts w:ascii="Times New Roman" w:hAnsi="Times New Roman" w:cs="Times New Roman"/>
          <w:lang w:val="en-US"/>
        </w:rPr>
        <w:t>accused no. 1 and his friends allegedly attempted to kidnap her because the former wanted to satisfy his sexual lust.</w:t>
      </w:r>
      <w:r w:rsidR="00286DA7" w:rsidRPr="004F2B59">
        <w:rPr>
          <w:rStyle w:val="FootnoteReference"/>
          <w:rFonts w:ascii="Times New Roman" w:hAnsi="Times New Roman" w:cs="Times New Roman"/>
          <w:lang w:val="en-US"/>
        </w:rPr>
        <w:footnoteReference w:id="86"/>
      </w:r>
      <w:r w:rsidR="00984C14" w:rsidRPr="004F2B59">
        <w:rPr>
          <w:rFonts w:ascii="Times New Roman" w:hAnsi="Times New Roman" w:cs="Times New Roman"/>
          <w:lang w:val="en-US"/>
        </w:rPr>
        <w:t xml:space="preserve"> The defense argued that the victim was in love with the accused and produced several letters between them</w:t>
      </w:r>
      <w:r w:rsidR="00A918E2" w:rsidRPr="004F2B59">
        <w:rPr>
          <w:rFonts w:ascii="Times New Roman" w:hAnsi="Times New Roman" w:cs="Times New Roman"/>
          <w:lang w:val="en-US"/>
        </w:rPr>
        <w:t xml:space="preserve"> to prove the same</w:t>
      </w:r>
      <w:r w:rsidR="00984C14" w:rsidRPr="004F2B59">
        <w:rPr>
          <w:rFonts w:ascii="Times New Roman" w:hAnsi="Times New Roman" w:cs="Times New Roman"/>
          <w:lang w:val="en-US"/>
        </w:rPr>
        <w:t>. The victim on the other hand refuted that argument but the Special court concluded that the victim had gone willingly with the accused. This conclusion was reached even when independent witnesses testified that they had heard the cries of the victim</w:t>
      </w:r>
      <w:r w:rsidR="006353A1" w:rsidRPr="004F2B59">
        <w:rPr>
          <w:rFonts w:ascii="Times New Roman" w:hAnsi="Times New Roman" w:cs="Times New Roman"/>
          <w:lang w:val="en-US"/>
        </w:rPr>
        <w:t>, they accosted the accused and then the accused fled the scene.</w:t>
      </w:r>
      <w:r w:rsidR="009E22D5" w:rsidRPr="004F2B59">
        <w:rPr>
          <w:rFonts w:ascii="Times New Roman" w:hAnsi="Times New Roman" w:cs="Times New Roman"/>
          <w:lang w:val="en-US"/>
        </w:rPr>
        <w:t xml:space="preserve"> Thus, it does seem quite bizarre as to how the court concluded that the accused and the victim had a love affair. While it might have been so the case at some point in time, it also might be the case that her feelings towards theaccused had changed. This seems to be the classic male understanding of love</w:t>
      </w:r>
      <w:r w:rsidR="00214B19" w:rsidRPr="004F2B59">
        <w:rPr>
          <w:rFonts w:ascii="Times New Roman" w:hAnsi="Times New Roman" w:cs="Times New Roman"/>
          <w:lang w:val="en-US"/>
        </w:rPr>
        <w:t xml:space="preserve"> and consent</w:t>
      </w:r>
      <w:r w:rsidR="009E22D5" w:rsidRPr="004F2B59">
        <w:rPr>
          <w:rFonts w:ascii="Times New Roman" w:hAnsi="Times New Roman" w:cs="Times New Roman"/>
          <w:lang w:val="en-US"/>
        </w:rPr>
        <w:t xml:space="preserve"> that if a girl has feelings for you, she must be ready to have sexual intercourse as well.</w:t>
      </w:r>
      <w:r w:rsidR="0032087A" w:rsidRPr="004F2B59">
        <w:rPr>
          <w:rFonts w:ascii="Times New Roman" w:hAnsi="Times New Roman" w:cs="Times New Roman"/>
          <w:lang w:val="en-US"/>
        </w:rPr>
        <w:t xml:space="preserve"> </w:t>
      </w:r>
      <w:r w:rsidR="0032087A" w:rsidRPr="004F2B59">
        <w:rPr>
          <w:rFonts w:ascii="Times New Roman" w:hAnsi="Times New Roman" w:cs="Times New Roman"/>
          <w:lang w:val="en-US"/>
        </w:rPr>
        <w:lastRenderedPageBreak/>
        <w:t xml:space="preserve">Similarly, in another case from Maharashtra, the court held the testimony of a victim to be unreliable on two grounds. Firstly, because she did not </w:t>
      </w:r>
      <w:r w:rsidR="0032087A" w:rsidRPr="004F2B59">
        <w:rPr>
          <w:rFonts w:ascii="Times New Roman" w:hAnsi="Times New Roman" w:cs="Times New Roman"/>
          <w:i/>
          <w:iCs/>
          <w:lang w:val="en-US"/>
        </w:rPr>
        <w:t>act appropriately</w:t>
      </w:r>
      <w:r w:rsidR="0032087A" w:rsidRPr="004F2B59">
        <w:rPr>
          <w:rFonts w:ascii="Times New Roman" w:hAnsi="Times New Roman" w:cs="Times New Roman"/>
          <w:lang w:val="en-US"/>
        </w:rPr>
        <w:t xml:space="preserve"> during non-consensualforceful intercourse and secondly because she admitted to having a romantic relationship with the accused in the past.</w:t>
      </w:r>
      <w:r w:rsidR="0032087A" w:rsidRPr="004F2B59">
        <w:rPr>
          <w:rStyle w:val="FootnoteReference"/>
          <w:rFonts w:ascii="Times New Roman" w:hAnsi="Times New Roman" w:cs="Times New Roman"/>
          <w:lang w:val="en-US"/>
        </w:rPr>
        <w:footnoteReference w:id="87"/>
      </w:r>
      <w:r w:rsidR="00166566" w:rsidRPr="004F2B59">
        <w:rPr>
          <w:rFonts w:ascii="Times New Roman" w:hAnsi="Times New Roman" w:cs="Times New Roman"/>
          <w:lang w:val="en-US"/>
        </w:rPr>
        <w:t xml:space="preserve"> According to the Special Court, the natural conduct of a girl being subjected to rape or forceful intercourse would be cry, yell and seek help and since the girl did not, her testimony was held unreliable. </w:t>
      </w:r>
    </w:p>
    <w:p w:rsidR="006E25D0" w:rsidRPr="004F2B59" w:rsidRDefault="006E25D0" w:rsidP="004F2B59">
      <w:pPr>
        <w:spacing w:after="0" w:line="320" w:lineRule="exact"/>
        <w:ind w:firstLine="432"/>
        <w:jc w:val="both"/>
        <w:rPr>
          <w:rFonts w:ascii="Times New Roman" w:hAnsi="Times New Roman" w:cs="Times New Roman"/>
          <w:lang w:val="en-US"/>
        </w:rPr>
      </w:pPr>
    </w:p>
    <w:p w:rsidR="00C0671F" w:rsidRPr="004F2B59" w:rsidRDefault="0034229D" w:rsidP="004F2B59">
      <w:pPr>
        <w:pStyle w:val="ListParagraph"/>
        <w:numPr>
          <w:ilvl w:val="1"/>
          <w:numId w:val="12"/>
        </w:numPr>
        <w:spacing w:after="0" w:line="320" w:lineRule="exact"/>
        <w:ind w:left="0" w:firstLine="432"/>
        <w:contextualSpacing w:val="0"/>
        <w:jc w:val="both"/>
        <w:rPr>
          <w:rFonts w:ascii="Times New Roman" w:hAnsi="Times New Roman" w:cs="Times New Roman"/>
          <w:b/>
          <w:bCs/>
          <w:u w:val="single"/>
          <w:lang w:val="en-US"/>
        </w:rPr>
      </w:pPr>
      <w:r w:rsidRPr="004F2B59">
        <w:rPr>
          <w:rFonts w:ascii="Times New Roman" w:hAnsi="Times New Roman" w:cs="Times New Roman"/>
          <w:b/>
          <w:bCs/>
          <w:u w:val="single"/>
          <w:lang w:val="en-US"/>
        </w:rPr>
        <w:t xml:space="preserve">Consensual sexual relationships and </w:t>
      </w:r>
      <w:r w:rsidR="00C0671F" w:rsidRPr="004F2B59">
        <w:rPr>
          <w:rFonts w:ascii="Times New Roman" w:hAnsi="Times New Roman" w:cs="Times New Roman"/>
          <w:b/>
          <w:bCs/>
          <w:u w:val="single"/>
          <w:lang w:val="en-US"/>
        </w:rPr>
        <w:t>Misuse of POCSO Act</w:t>
      </w:r>
    </w:p>
    <w:p w:rsidR="00C0671F" w:rsidRPr="004F2B59" w:rsidRDefault="00C0671F"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 xml:space="preserve">There have been multiple judgements where different High Courts have expressed concerns about </w:t>
      </w:r>
      <w:r w:rsidR="00FE6899" w:rsidRPr="004F2B59">
        <w:rPr>
          <w:rFonts w:ascii="Times New Roman" w:hAnsi="Times New Roman" w:cs="Times New Roman"/>
          <w:lang w:val="en-US"/>
        </w:rPr>
        <w:t xml:space="preserve">the misuse of </w:t>
      </w:r>
      <w:r w:rsidR="00600DBA" w:rsidRPr="004F2B59">
        <w:rPr>
          <w:rFonts w:ascii="Times New Roman" w:hAnsi="Times New Roman" w:cs="Times New Roman"/>
          <w:lang w:val="en-US"/>
        </w:rPr>
        <w:t>the POCSO</w:t>
      </w:r>
      <w:r w:rsidR="00FE6899" w:rsidRPr="004F2B59">
        <w:rPr>
          <w:rFonts w:ascii="Times New Roman" w:hAnsi="Times New Roman" w:cs="Times New Roman"/>
          <w:lang w:val="en-US"/>
        </w:rPr>
        <w:t xml:space="preserve"> Act for </w:t>
      </w:r>
      <w:r w:rsidR="00600DBA" w:rsidRPr="004F2B59">
        <w:rPr>
          <w:rFonts w:ascii="Times New Roman" w:hAnsi="Times New Roman" w:cs="Times New Roman"/>
          <w:lang w:val="en-US"/>
        </w:rPr>
        <w:t xml:space="preserve">settling personal scores. The Kerala High Court, in 2022, opined that the provisions of the act are too harsh and the punishments extremely severe and thus the misuse of it by falsely implicating innocent </w:t>
      </w:r>
      <w:r w:rsidR="00571545" w:rsidRPr="004F2B59">
        <w:rPr>
          <w:rFonts w:ascii="Times New Roman" w:hAnsi="Times New Roman" w:cs="Times New Roman"/>
          <w:lang w:val="en-US"/>
        </w:rPr>
        <w:t>people</w:t>
      </w:r>
      <w:r w:rsidR="00600DBA" w:rsidRPr="004F2B59">
        <w:rPr>
          <w:rFonts w:ascii="Times New Roman" w:hAnsi="Times New Roman" w:cs="Times New Roman"/>
          <w:lang w:val="en-US"/>
        </w:rPr>
        <w:t xml:space="preserve"> was inevitable by ill motivated litigants.</w:t>
      </w:r>
      <w:r w:rsidR="00600DBA" w:rsidRPr="004F2B59">
        <w:rPr>
          <w:rStyle w:val="FootnoteReference"/>
          <w:rFonts w:ascii="Times New Roman" w:hAnsi="Times New Roman" w:cs="Times New Roman"/>
          <w:lang w:val="en-US"/>
        </w:rPr>
        <w:footnoteReference w:id="88"/>
      </w:r>
      <w:r w:rsidR="00571545" w:rsidRPr="004F2B59">
        <w:rPr>
          <w:rFonts w:ascii="Times New Roman" w:hAnsi="Times New Roman" w:cs="Times New Roman"/>
          <w:lang w:val="en-US"/>
        </w:rPr>
        <w:t>In another case, the same High Court while acknowledging the fact that the POCSO Act is a revolutionary legislation for the safety and protection of children against sexual exploitation. However, it also lamented the fact that there have been enough instances which documented the misuse of the legislation which not only undermined the intent of the legislature but also posed a threat to the justice delivery system.</w:t>
      </w:r>
      <w:r w:rsidR="00571545" w:rsidRPr="004F2B59">
        <w:rPr>
          <w:rStyle w:val="FootnoteReference"/>
          <w:rFonts w:ascii="Times New Roman" w:hAnsi="Times New Roman" w:cs="Times New Roman"/>
          <w:lang w:val="en-US"/>
        </w:rPr>
        <w:footnoteReference w:id="89"/>
      </w:r>
      <w:r w:rsidR="00571545" w:rsidRPr="004F2B59">
        <w:rPr>
          <w:rFonts w:ascii="Times New Roman" w:hAnsi="Times New Roman" w:cs="Times New Roman"/>
          <w:lang w:val="en-US"/>
        </w:rPr>
        <w:t xml:space="preserve"> The present case pertained to a complaint by a 17-year girl of molestation against her cousins who had previously objected to relationship between her and her classmate. Consequently, the two accused were jailed for two months and had applied for bail. The complainant later filed an affidavit before the court informing the court that she had levelled false allegations against both </w:t>
      </w:r>
      <w:r w:rsidR="00571545" w:rsidRPr="004F2B59">
        <w:rPr>
          <w:rFonts w:ascii="Times New Roman" w:hAnsi="Times New Roman" w:cs="Times New Roman"/>
          <w:lang w:val="en-US"/>
        </w:rPr>
        <w:lastRenderedPageBreak/>
        <w:t>the accused. The court also urged the legislature to implement necessary checks and sa</w:t>
      </w:r>
      <w:r w:rsidR="00986A85" w:rsidRPr="004F2B59">
        <w:rPr>
          <w:rFonts w:ascii="Times New Roman" w:hAnsi="Times New Roman" w:cs="Times New Roman"/>
          <w:lang w:val="en-US"/>
        </w:rPr>
        <w:t>feguards to prevent such misuse.</w:t>
      </w:r>
      <w:r w:rsidR="00986A85" w:rsidRPr="004F2B59">
        <w:rPr>
          <w:rStyle w:val="FootnoteReference"/>
          <w:rFonts w:ascii="Times New Roman" w:hAnsi="Times New Roman" w:cs="Times New Roman"/>
          <w:lang w:val="en-US"/>
        </w:rPr>
        <w:footnoteReference w:id="90"/>
      </w:r>
    </w:p>
    <w:p w:rsidR="00A232DE" w:rsidRDefault="00986A85" w:rsidP="004F2B59">
      <w:pPr>
        <w:spacing w:after="0" w:line="320" w:lineRule="exact"/>
        <w:ind w:firstLine="432"/>
        <w:jc w:val="both"/>
        <w:rPr>
          <w:rFonts w:ascii="Times New Roman" w:hAnsi="Times New Roman" w:cs="Times New Roman"/>
        </w:rPr>
      </w:pPr>
      <w:r w:rsidRPr="004F2B59">
        <w:rPr>
          <w:rFonts w:ascii="Times New Roman" w:hAnsi="Times New Roman" w:cs="Times New Roman"/>
          <w:lang w:val="en-US"/>
        </w:rPr>
        <w:t xml:space="preserve">In this regard, the judgement of the Allahabad High Court in </w:t>
      </w:r>
      <w:r w:rsidRPr="004F2B59">
        <w:rPr>
          <w:rFonts w:ascii="Times New Roman" w:hAnsi="Times New Roman" w:cs="Times New Roman"/>
          <w:i/>
          <w:iCs/>
          <w:lang w:val="en-US"/>
        </w:rPr>
        <w:t>Satish alias Chand v. State of Uttar Pradesh &amp; Ors.</w:t>
      </w:r>
      <w:r w:rsidRPr="004F2B59">
        <w:rPr>
          <w:rStyle w:val="FootnoteReference"/>
          <w:rFonts w:ascii="Times New Roman" w:hAnsi="Times New Roman" w:cs="Times New Roman"/>
          <w:lang w:val="en-US"/>
        </w:rPr>
        <w:footnoteReference w:id="91"/>
      </w:r>
      <w:r w:rsidRPr="004F2B59">
        <w:rPr>
          <w:rFonts w:ascii="Times New Roman" w:hAnsi="Times New Roman" w:cs="Times New Roman"/>
          <w:lang w:val="en-US"/>
        </w:rPr>
        <w:t xml:space="preserve"> where the court raised concerns regarding misuse of the act in matters pertaining to consensual romantic relationships. Justice Krishan Pahal opined that while dealing with matters under the POCSO Act, the real challenge lies in distinguishing between cases of genuine exploitation and those involving consensual romantic relationships. According to the court, doing so requires a </w:t>
      </w:r>
      <w:r w:rsidRPr="004F2B59">
        <w:rPr>
          <w:rFonts w:ascii="Times New Roman" w:hAnsi="Times New Roman" w:cs="Times New Roman"/>
          <w:i/>
          <w:iCs/>
          <w:lang w:val="en-US"/>
        </w:rPr>
        <w:t xml:space="preserve">nuanced approach </w:t>
      </w:r>
      <w:r w:rsidRPr="004F2B59">
        <w:rPr>
          <w:rFonts w:ascii="Times New Roman" w:hAnsi="Times New Roman" w:cs="Times New Roman"/>
          <w:lang w:val="en-US"/>
        </w:rPr>
        <w:t xml:space="preserve">and </w:t>
      </w:r>
      <w:r w:rsidRPr="004F2B59">
        <w:rPr>
          <w:rFonts w:ascii="Times New Roman" w:hAnsi="Times New Roman" w:cs="Times New Roman"/>
          <w:i/>
          <w:iCs/>
          <w:lang w:val="en-US"/>
        </w:rPr>
        <w:t xml:space="preserve">careful judicial consideration </w:t>
      </w:r>
      <w:r w:rsidRPr="004F2B59">
        <w:rPr>
          <w:rFonts w:ascii="Times New Roman" w:hAnsi="Times New Roman" w:cs="Times New Roman"/>
          <w:lang w:val="en-US"/>
        </w:rPr>
        <w:t>to ensure that there is no miscarriage of justice.</w:t>
      </w:r>
      <w:r w:rsidRPr="004F2B59">
        <w:rPr>
          <w:rStyle w:val="FootnoteReference"/>
          <w:rFonts w:ascii="Times New Roman" w:hAnsi="Times New Roman" w:cs="Times New Roman"/>
          <w:lang w:val="en-US"/>
        </w:rPr>
        <w:footnoteReference w:id="92"/>
      </w:r>
      <w:r w:rsidRPr="004F2B59">
        <w:rPr>
          <w:rFonts w:ascii="Times New Roman" w:hAnsi="Times New Roman" w:cs="Times New Roman"/>
          <w:lang w:val="en-US"/>
        </w:rPr>
        <w:t xml:space="preserve"> The court has laid down four factors to consider while dealing with such cases</w:t>
      </w:r>
      <w:r w:rsidR="00730173" w:rsidRPr="004F2B59">
        <w:rPr>
          <w:rFonts w:ascii="Times New Roman" w:hAnsi="Times New Roman" w:cs="Times New Roman"/>
          <w:lang w:val="en-US"/>
        </w:rPr>
        <w:t xml:space="preserve">. Firstly, </w:t>
      </w:r>
      <w:r w:rsidR="00730173" w:rsidRPr="004F2B59">
        <w:rPr>
          <w:rFonts w:ascii="Times New Roman" w:hAnsi="Times New Roman" w:cs="Times New Roman"/>
        </w:rPr>
        <w:t xml:space="preserve">each </w:t>
      </w:r>
      <w:r w:rsidR="00A232DE" w:rsidRPr="004F2B59">
        <w:rPr>
          <w:rFonts w:ascii="Times New Roman" w:hAnsi="Times New Roman" w:cs="Times New Roman"/>
        </w:rPr>
        <w:t xml:space="preserve">case should be evaluated </w:t>
      </w:r>
      <w:r w:rsidR="00730173" w:rsidRPr="004F2B59">
        <w:rPr>
          <w:rFonts w:ascii="Times New Roman" w:hAnsi="Times New Roman" w:cs="Times New Roman"/>
        </w:rPr>
        <w:t>by</w:t>
      </w:r>
      <w:r w:rsidR="00A232DE" w:rsidRPr="004F2B59">
        <w:rPr>
          <w:rFonts w:ascii="Times New Roman" w:hAnsi="Times New Roman" w:cs="Times New Roman"/>
        </w:rPr>
        <w:t xml:space="preserve"> its individual facts and circumstances. The nature of the relationship and the intentions of both parties should be carefully examined. </w:t>
      </w:r>
      <w:r w:rsidR="00730173" w:rsidRPr="004F2B59">
        <w:rPr>
          <w:rFonts w:ascii="Times New Roman" w:hAnsi="Times New Roman" w:cs="Times New Roman"/>
        </w:rPr>
        <w:t>Secondly, t</w:t>
      </w:r>
      <w:r w:rsidR="00A232DE" w:rsidRPr="004F2B59">
        <w:rPr>
          <w:rFonts w:ascii="Times New Roman" w:hAnsi="Times New Roman" w:cs="Times New Roman"/>
        </w:rPr>
        <w:t xml:space="preserve">he statement of the alleged victim should be given due consideration. If the relationship is consensual and based on mutual affection, this should be factored into decisions regarding bail and prosecution. </w:t>
      </w:r>
      <w:r w:rsidR="00730173" w:rsidRPr="004F2B59">
        <w:rPr>
          <w:rFonts w:ascii="Times New Roman" w:hAnsi="Times New Roman" w:cs="Times New Roman"/>
        </w:rPr>
        <w:t>Thirdly, i</w:t>
      </w:r>
      <w:r w:rsidR="00A232DE" w:rsidRPr="004F2B59">
        <w:rPr>
          <w:rFonts w:ascii="Times New Roman" w:hAnsi="Times New Roman" w:cs="Times New Roman"/>
        </w:rPr>
        <w:t xml:space="preserve">gnoring the consensual nature of a relationship can lead to unjust outcomes, such as wrongful imprisonment. </w:t>
      </w:r>
      <w:r w:rsidR="00730173" w:rsidRPr="004F2B59">
        <w:rPr>
          <w:rFonts w:ascii="Times New Roman" w:hAnsi="Times New Roman" w:cs="Times New Roman"/>
        </w:rPr>
        <w:t>The court opined that t</w:t>
      </w:r>
      <w:r w:rsidR="00A232DE" w:rsidRPr="004F2B59">
        <w:rPr>
          <w:rFonts w:ascii="Times New Roman" w:hAnsi="Times New Roman" w:cs="Times New Roman"/>
        </w:rPr>
        <w:t>he judicial system should aim to balance the protection of minors with the recognition of their autonomy in certain contexts</w:t>
      </w:r>
      <w:r w:rsidR="00730173" w:rsidRPr="004F2B59">
        <w:rPr>
          <w:rFonts w:ascii="Times New Roman" w:hAnsi="Times New Roman" w:cs="Times New Roman"/>
        </w:rPr>
        <w:t xml:space="preserve"> where the age of both the parties becomes important. Fourthly, c</w:t>
      </w:r>
      <w:r w:rsidR="00A232DE" w:rsidRPr="004F2B59">
        <w:rPr>
          <w:rFonts w:ascii="Times New Roman" w:hAnsi="Times New Roman" w:cs="Times New Roman"/>
        </w:rPr>
        <w:t>ourts should use their discretion wisely, ensuring that the application of POCSO does not inadvertently harm the very individuals it is meant to protect.</w:t>
      </w:r>
      <w:r w:rsidR="00730173" w:rsidRPr="004F2B59">
        <w:rPr>
          <w:rStyle w:val="FootnoteReference"/>
          <w:rFonts w:ascii="Times New Roman" w:hAnsi="Times New Roman" w:cs="Times New Roman"/>
        </w:rPr>
        <w:footnoteReference w:id="93"/>
      </w:r>
    </w:p>
    <w:p w:rsidR="006E25D0" w:rsidRPr="004F2B59" w:rsidRDefault="006E25D0" w:rsidP="004F2B59">
      <w:pPr>
        <w:spacing w:after="0" w:line="320" w:lineRule="exact"/>
        <w:ind w:firstLine="432"/>
        <w:jc w:val="both"/>
        <w:rPr>
          <w:rFonts w:ascii="Times New Roman" w:hAnsi="Times New Roman" w:cs="Times New Roman"/>
          <w:lang w:val="en-US"/>
        </w:rPr>
      </w:pPr>
    </w:p>
    <w:p w:rsidR="00844704" w:rsidRPr="004F2B59" w:rsidRDefault="00A370A4" w:rsidP="004F2B59">
      <w:pPr>
        <w:pStyle w:val="ListParagraph"/>
        <w:numPr>
          <w:ilvl w:val="0"/>
          <w:numId w:val="12"/>
        </w:numPr>
        <w:spacing w:after="0" w:line="320" w:lineRule="exact"/>
        <w:ind w:left="0" w:firstLine="432"/>
        <w:contextualSpacing w:val="0"/>
        <w:jc w:val="both"/>
        <w:rPr>
          <w:rFonts w:ascii="Times New Roman" w:hAnsi="Times New Roman" w:cs="Times New Roman"/>
          <w:b/>
          <w:bCs/>
          <w:u w:val="single"/>
          <w:lang w:val="en-US"/>
        </w:rPr>
      </w:pPr>
      <w:r w:rsidRPr="004F2B59">
        <w:rPr>
          <w:rFonts w:ascii="Times New Roman" w:hAnsi="Times New Roman" w:cs="Times New Roman"/>
          <w:b/>
          <w:bCs/>
          <w:u w:val="single"/>
          <w:lang w:val="en-US"/>
        </w:rPr>
        <w:t xml:space="preserve">Need to revisit </w:t>
      </w:r>
      <w:r w:rsidR="00B46A00" w:rsidRPr="004F2B59">
        <w:rPr>
          <w:rFonts w:ascii="Times New Roman" w:hAnsi="Times New Roman" w:cs="Times New Roman"/>
          <w:b/>
          <w:bCs/>
          <w:u w:val="single"/>
          <w:lang w:val="en-US"/>
        </w:rPr>
        <w:t>Close-in-Age Exception in India</w:t>
      </w:r>
    </w:p>
    <w:p w:rsidR="00E81B1A" w:rsidRPr="004F2B59" w:rsidRDefault="00FD7B13"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shd w:val="clear" w:color="auto" w:fill="FFFFFF"/>
        </w:rPr>
        <w:t xml:space="preserve">Absence of close-in-age exemption in India </w:t>
      </w:r>
      <w:r w:rsidR="00C552B5" w:rsidRPr="004F2B59">
        <w:rPr>
          <w:rFonts w:ascii="Times New Roman" w:hAnsi="Times New Roman" w:cs="Times New Roman"/>
          <w:shd w:val="clear" w:color="auto" w:fill="FFFFFF"/>
        </w:rPr>
        <w:t>indeed greatly</w:t>
      </w:r>
      <w:r w:rsidRPr="004F2B59">
        <w:rPr>
          <w:rFonts w:ascii="Times New Roman" w:hAnsi="Times New Roman" w:cs="Times New Roman"/>
          <w:shd w:val="clear" w:color="auto" w:fill="FFFFFF"/>
        </w:rPr>
        <w:t xml:space="preserve"> diminishes any autonomy that adolescents </w:t>
      </w:r>
      <w:r w:rsidR="00A370A4" w:rsidRPr="004F2B59">
        <w:rPr>
          <w:rFonts w:ascii="Times New Roman" w:hAnsi="Times New Roman" w:cs="Times New Roman"/>
          <w:shd w:val="clear" w:color="auto" w:fill="FFFFFF"/>
        </w:rPr>
        <w:t xml:space="preserve">can </w:t>
      </w:r>
      <w:r w:rsidRPr="004F2B59">
        <w:rPr>
          <w:rFonts w:ascii="Times New Roman" w:hAnsi="Times New Roman" w:cs="Times New Roman"/>
          <w:shd w:val="clear" w:color="auto" w:fill="FFFFFF"/>
        </w:rPr>
        <w:t>exercise over their sexuality</w:t>
      </w:r>
      <w:r w:rsidR="00A370A4" w:rsidRPr="004F2B59">
        <w:rPr>
          <w:rFonts w:ascii="Times New Roman" w:hAnsi="Times New Roman" w:cs="Times New Roman"/>
          <w:shd w:val="clear" w:color="auto" w:fill="FFFFFF"/>
        </w:rPr>
        <w:t xml:space="preserve"> and therefore discussion about its introduction in India becomes </w:t>
      </w:r>
      <w:r w:rsidR="00C552B5" w:rsidRPr="004F2B59">
        <w:rPr>
          <w:rFonts w:ascii="Times New Roman" w:hAnsi="Times New Roman" w:cs="Times New Roman"/>
          <w:shd w:val="clear" w:color="auto" w:fill="FFFFFF"/>
        </w:rPr>
        <w:t>imperative not</w:t>
      </w:r>
      <w:r w:rsidR="00A370A4" w:rsidRPr="004F2B59">
        <w:rPr>
          <w:rFonts w:ascii="Times New Roman" w:hAnsi="Times New Roman" w:cs="Times New Roman"/>
          <w:shd w:val="clear" w:color="auto" w:fill="FFFFFF"/>
        </w:rPr>
        <w:t xml:space="preserve"> only from the perspective of understanding   the </w:t>
      </w:r>
      <w:r w:rsidR="00A370A4" w:rsidRPr="004F2B59">
        <w:rPr>
          <w:rFonts w:ascii="Times New Roman" w:hAnsi="Times New Roman" w:cs="Times New Roman"/>
          <w:shd w:val="clear" w:color="auto" w:fill="FFFFFF"/>
        </w:rPr>
        <w:lastRenderedPageBreak/>
        <w:t xml:space="preserve">realities of adolescents’ </w:t>
      </w:r>
      <w:r w:rsidR="00331DA4" w:rsidRPr="004F2B59">
        <w:rPr>
          <w:rFonts w:ascii="Times New Roman" w:hAnsi="Times New Roman" w:cs="Times New Roman"/>
          <w:shd w:val="clear" w:color="auto" w:fill="FFFFFF"/>
        </w:rPr>
        <w:t>lives but</w:t>
      </w:r>
      <w:r w:rsidR="00A370A4" w:rsidRPr="004F2B59">
        <w:rPr>
          <w:rFonts w:ascii="Times New Roman" w:hAnsi="Times New Roman" w:cs="Times New Roman"/>
          <w:shd w:val="clear" w:color="auto" w:fill="FFFFFF"/>
        </w:rPr>
        <w:t xml:space="preserve"> also </w:t>
      </w:r>
      <w:r w:rsidR="00331DA4" w:rsidRPr="004F2B59">
        <w:rPr>
          <w:rFonts w:ascii="Times New Roman" w:hAnsi="Times New Roman" w:cs="Times New Roman"/>
          <w:shd w:val="clear" w:color="auto" w:fill="FFFFFF"/>
        </w:rPr>
        <w:t>for their</w:t>
      </w:r>
      <w:r w:rsidR="00A370A4" w:rsidRPr="004F2B59">
        <w:rPr>
          <w:rFonts w:ascii="Times New Roman" w:hAnsi="Times New Roman" w:cs="Times New Roman"/>
          <w:shd w:val="clear" w:color="auto" w:fill="FFFFFF"/>
        </w:rPr>
        <w:t xml:space="preserve"> protection from the criminalisation. It was in this context only, </w:t>
      </w:r>
      <w:r w:rsidR="00A370A4" w:rsidRPr="004F2B59">
        <w:rPr>
          <w:rFonts w:ascii="Times New Roman" w:hAnsi="Times New Roman" w:cs="Times New Roman"/>
          <w:lang w:val="en-US"/>
        </w:rPr>
        <w:t xml:space="preserve">The </w:t>
      </w:r>
      <w:r w:rsidR="00C552B5" w:rsidRPr="004F2B59">
        <w:rPr>
          <w:rFonts w:ascii="Times New Roman" w:hAnsi="Times New Roman" w:cs="Times New Roman"/>
          <w:lang w:val="en-US"/>
        </w:rPr>
        <w:t>NCPCR suggested</w:t>
      </w:r>
      <w:r w:rsidR="008C59ED" w:rsidRPr="004F2B59">
        <w:rPr>
          <w:rFonts w:ascii="Times New Roman" w:hAnsi="Times New Roman" w:cs="Times New Roman"/>
          <w:lang w:val="en-US"/>
        </w:rPr>
        <w:t xml:space="preserve"> the age of consent to be set at 16 years when the discussions regarding the enactment of the POCSO Act were in progress.</w:t>
      </w:r>
      <w:r w:rsidR="008C59ED" w:rsidRPr="004F2B59">
        <w:rPr>
          <w:rStyle w:val="FootnoteReference"/>
          <w:rFonts w:ascii="Times New Roman" w:hAnsi="Times New Roman" w:cs="Times New Roman"/>
          <w:lang w:val="en-US"/>
        </w:rPr>
        <w:footnoteReference w:id="94"/>
      </w:r>
      <w:r w:rsidR="00A370A4" w:rsidRPr="004F2B59">
        <w:rPr>
          <w:rFonts w:ascii="Times New Roman" w:hAnsi="Times New Roman" w:cs="Times New Roman"/>
          <w:lang w:val="en-US"/>
        </w:rPr>
        <w:t xml:space="preserve">It </w:t>
      </w:r>
      <w:r w:rsidR="006D6258" w:rsidRPr="004F2B59">
        <w:rPr>
          <w:rFonts w:ascii="Times New Roman" w:hAnsi="Times New Roman" w:cs="Times New Roman"/>
          <w:lang w:val="en-US"/>
        </w:rPr>
        <w:t xml:space="preserve">also </w:t>
      </w:r>
      <w:r w:rsidR="00C639D4" w:rsidRPr="004F2B59">
        <w:rPr>
          <w:rFonts w:ascii="Times New Roman" w:hAnsi="Times New Roman" w:cs="Times New Roman"/>
          <w:lang w:val="en-US"/>
        </w:rPr>
        <w:t>suggested</w:t>
      </w:r>
      <w:r w:rsidR="006D6258" w:rsidRPr="004F2B59">
        <w:rPr>
          <w:rFonts w:ascii="Times New Roman" w:hAnsi="Times New Roman" w:cs="Times New Roman"/>
          <w:lang w:val="en-US"/>
        </w:rPr>
        <w:t xml:space="preserve"> to include close-in-age exception </w:t>
      </w:r>
      <w:r w:rsidR="00C639D4" w:rsidRPr="004F2B59">
        <w:rPr>
          <w:rFonts w:ascii="Times New Roman" w:hAnsi="Times New Roman" w:cs="Times New Roman"/>
          <w:lang w:val="en-US"/>
        </w:rPr>
        <w:t xml:space="preserve">in a two-fold manner. Firstly, </w:t>
      </w:r>
      <w:r w:rsidR="003865D9" w:rsidRPr="004F2B59">
        <w:rPr>
          <w:rFonts w:ascii="Times New Roman" w:hAnsi="Times New Roman" w:cs="Times New Roman"/>
          <w:lang w:val="en-US"/>
        </w:rPr>
        <w:t xml:space="preserve">to protect </w:t>
      </w:r>
      <w:r w:rsidR="00C639D4" w:rsidRPr="004F2B59">
        <w:rPr>
          <w:rFonts w:ascii="Times New Roman" w:hAnsi="Times New Roman" w:cs="Times New Roman"/>
          <w:lang w:val="en-US"/>
        </w:rPr>
        <w:t>consensual non</w:t>
      </w:r>
      <w:r w:rsidR="002F27E4" w:rsidRPr="004F2B59">
        <w:rPr>
          <w:rFonts w:ascii="Times New Roman" w:hAnsi="Times New Roman" w:cs="Times New Roman"/>
          <w:lang w:val="en-US"/>
        </w:rPr>
        <w:t>-penetrative sexual activities amongst two children above 12 years who are within two years of each other.</w:t>
      </w:r>
      <w:r w:rsidR="002F27E4" w:rsidRPr="004F2B59">
        <w:rPr>
          <w:rStyle w:val="FootnoteReference"/>
          <w:rFonts w:ascii="Times New Roman" w:hAnsi="Times New Roman" w:cs="Times New Roman"/>
          <w:lang w:val="en-US"/>
        </w:rPr>
        <w:footnoteReference w:id="95"/>
      </w:r>
      <w:r w:rsidR="003865D9" w:rsidRPr="004F2B59">
        <w:rPr>
          <w:rFonts w:ascii="Times New Roman" w:hAnsi="Times New Roman" w:cs="Times New Roman"/>
          <w:lang w:val="en-US"/>
        </w:rPr>
        <w:t xml:space="preserve"> Secondly, </w:t>
      </w:r>
      <w:r w:rsidR="00C552B5" w:rsidRPr="004F2B59">
        <w:rPr>
          <w:rFonts w:ascii="Times New Roman" w:hAnsi="Times New Roman" w:cs="Times New Roman"/>
          <w:lang w:val="en-US"/>
        </w:rPr>
        <w:t>to protect consensual</w:t>
      </w:r>
      <w:r w:rsidR="00E81B1A" w:rsidRPr="004F2B59">
        <w:rPr>
          <w:rFonts w:ascii="Times New Roman" w:hAnsi="Times New Roman" w:cs="Times New Roman"/>
          <w:lang w:val="en-US"/>
        </w:rPr>
        <w:t xml:space="preserve"> penetrative sexual activities between children above 14 years who not more than 3 years of difference between them.</w:t>
      </w:r>
      <w:r w:rsidR="00E81B1A" w:rsidRPr="004F2B59">
        <w:rPr>
          <w:rStyle w:val="FootnoteReference"/>
          <w:rFonts w:ascii="Times New Roman" w:hAnsi="Times New Roman" w:cs="Times New Roman"/>
          <w:lang w:val="en-US"/>
        </w:rPr>
        <w:footnoteReference w:id="96"/>
      </w:r>
      <w:r w:rsidR="00B11175" w:rsidRPr="004F2B59">
        <w:rPr>
          <w:rFonts w:ascii="Times New Roman" w:hAnsi="Times New Roman" w:cs="Times New Roman"/>
          <w:lang w:val="en-US"/>
        </w:rPr>
        <w:t xml:space="preserve"> O</w:t>
      </w:r>
      <w:r w:rsidR="00A370A4" w:rsidRPr="004F2B59">
        <w:rPr>
          <w:rFonts w:ascii="Times New Roman" w:hAnsi="Times New Roman" w:cs="Times New Roman"/>
          <w:lang w:val="en-US"/>
        </w:rPr>
        <w:t xml:space="preserve">ver the </w:t>
      </w:r>
      <w:r w:rsidR="00331DA4" w:rsidRPr="004F2B59">
        <w:rPr>
          <w:rFonts w:ascii="Times New Roman" w:hAnsi="Times New Roman" w:cs="Times New Roman"/>
          <w:lang w:val="en-US"/>
        </w:rPr>
        <w:t>years, similar</w:t>
      </w:r>
      <w:r w:rsidR="00534F82" w:rsidRPr="004F2B59">
        <w:rPr>
          <w:rFonts w:ascii="Times New Roman" w:hAnsi="Times New Roman" w:cs="Times New Roman"/>
          <w:lang w:val="en-US"/>
        </w:rPr>
        <w:t xml:space="preserve"> sentiments have been echoed by higher courts as well. The High Courts of various states in India have urged for the lowering of the age of consent </w:t>
      </w:r>
      <w:r w:rsidR="00183C3F" w:rsidRPr="004F2B59">
        <w:rPr>
          <w:rFonts w:ascii="Times New Roman" w:hAnsi="Times New Roman" w:cs="Times New Roman"/>
          <w:lang w:val="en-US"/>
        </w:rPr>
        <w:t>to</w:t>
      </w:r>
      <w:r w:rsidR="00534F82" w:rsidRPr="004F2B59">
        <w:rPr>
          <w:rFonts w:ascii="Times New Roman" w:hAnsi="Times New Roman" w:cs="Times New Roman"/>
          <w:lang w:val="en-US"/>
        </w:rPr>
        <w:t xml:space="preserve"> decriminalize consensual sexual activities between children and adolescents. </w:t>
      </w:r>
      <w:r w:rsidR="00A370A4" w:rsidRPr="004F2B59">
        <w:rPr>
          <w:rFonts w:ascii="Times New Roman" w:hAnsi="Times New Roman" w:cs="Times New Roman"/>
          <w:lang w:val="en-US"/>
        </w:rPr>
        <w:t xml:space="preserve"> For </w:t>
      </w:r>
      <w:r w:rsidR="00C552B5" w:rsidRPr="004F2B59">
        <w:rPr>
          <w:rFonts w:ascii="Times New Roman" w:hAnsi="Times New Roman" w:cs="Times New Roman"/>
          <w:lang w:val="en-US"/>
        </w:rPr>
        <w:t>instance, the</w:t>
      </w:r>
      <w:r w:rsidR="00183C3F" w:rsidRPr="004F2B59">
        <w:rPr>
          <w:rFonts w:ascii="Times New Roman" w:hAnsi="Times New Roman" w:cs="Times New Roman"/>
          <w:lang w:val="en-US"/>
        </w:rPr>
        <w:t xml:space="preserve"> Calcutta High Court in </w:t>
      </w:r>
      <w:r w:rsidR="00183C3F" w:rsidRPr="004F2B59">
        <w:rPr>
          <w:rFonts w:ascii="Times New Roman" w:hAnsi="Times New Roman" w:cs="Times New Roman"/>
          <w:i/>
          <w:iCs/>
          <w:lang w:val="en-US"/>
        </w:rPr>
        <w:t>ProbhatPurkait @Provat vs. State of West Bengal</w:t>
      </w:r>
      <w:r w:rsidR="00183C3F" w:rsidRPr="004F2B59">
        <w:rPr>
          <w:rStyle w:val="FootnoteReference"/>
          <w:rFonts w:ascii="Times New Roman" w:hAnsi="Times New Roman" w:cs="Times New Roman"/>
          <w:i/>
          <w:iCs/>
          <w:lang w:val="en-US"/>
        </w:rPr>
        <w:footnoteReference w:id="97"/>
      </w:r>
      <w:r w:rsidR="00183C3F" w:rsidRPr="004F2B59">
        <w:rPr>
          <w:rFonts w:ascii="Times New Roman" w:hAnsi="Times New Roman" w:cs="Times New Roman"/>
          <w:lang w:val="en-US"/>
        </w:rPr>
        <w:t>echoed its concerns over the use of POCSO Act in punishing consensual sexual activities amongst adolescents. The division bench</w:t>
      </w:r>
      <w:r w:rsidR="00183C3F" w:rsidRPr="004F2B59">
        <w:rPr>
          <w:rStyle w:val="FootnoteReference"/>
          <w:rFonts w:ascii="Times New Roman" w:hAnsi="Times New Roman" w:cs="Times New Roman"/>
          <w:lang w:val="en-US"/>
        </w:rPr>
        <w:footnoteReference w:id="98"/>
      </w:r>
      <w:r w:rsidR="00183C3F" w:rsidRPr="004F2B59">
        <w:rPr>
          <w:rFonts w:ascii="Times New Roman" w:hAnsi="Times New Roman" w:cs="Times New Roman"/>
          <w:lang w:val="en-US"/>
        </w:rPr>
        <w:t xml:space="preserve"> of the court comprising of Justice Chitta Ranjan Dash and Partha Sarathi Sen opined that while the aim of the act was</w:t>
      </w:r>
      <w:r w:rsidR="00842480" w:rsidRPr="004F2B59">
        <w:rPr>
          <w:rFonts w:ascii="Times New Roman" w:hAnsi="Times New Roman" w:cs="Times New Roman"/>
          <w:lang w:val="en-US"/>
        </w:rPr>
        <w:t xml:space="preserve"> to</w:t>
      </w:r>
      <w:r w:rsidR="00183C3F" w:rsidRPr="004F2B59">
        <w:rPr>
          <w:rFonts w:ascii="Times New Roman" w:hAnsi="Times New Roman" w:cs="Times New Roman"/>
          <w:lang w:val="en-US"/>
        </w:rPr>
        <w:t xml:space="preserve"> protect children under 18 years of age from sexual </w:t>
      </w:r>
      <w:r w:rsidR="00842480" w:rsidRPr="004F2B59">
        <w:rPr>
          <w:rFonts w:ascii="Times New Roman" w:hAnsi="Times New Roman" w:cs="Times New Roman"/>
          <w:lang w:val="en-US"/>
        </w:rPr>
        <w:t>exploitation; by prohibiting all sexual activities between children, it is depriving them of the liberty to be in consensual relationships.</w:t>
      </w:r>
      <w:r w:rsidR="00842480" w:rsidRPr="004F2B59">
        <w:rPr>
          <w:rStyle w:val="FootnoteReference"/>
          <w:rFonts w:ascii="Times New Roman" w:hAnsi="Times New Roman" w:cs="Times New Roman"/>
          <w:lang w:val="en-US"/>
        </w:rPr>
        <w:footnoteReference w:id="99"/>
      </w:r>
      <w:r w:rsidR="00842480" w:rsidRPr="004F2B59">
        <w:rPr>
          <w:rFonts w:ascii="Times New Roman" w:hAnsi="Times New Roman" w:cs="Times New Roman"/>
          <w:lang w:val="en-US"/>
        </w:rPr>
        <w:t xml:space="preserve"> The court stressed on the need to </w:t>
      </w:r>
      <w:r w:rsidR="005F1AA2" w:rsidRPr="004F2B59">
        <w:rPr>
          <w:rFonts w:ascii="Times New Roman" w:hAnsi="Times New Roman" w:cs="Times New Roman"/>
          <w:lang w:val="en-US"/>
        </w:rPr>
        <w:t>strike a “</w:t>
      </w:r>
      <w:r w:rsidR="005F1AA2" w:rsidRPr="004F2B59">
        <w:rPr>
          <w:rFonts w:ascii="Times New Roman" w:hAnsi="Times New Roman" w:cs="Times New Roman"/>
          <w:i/>
          <w:iCs/>
        </w:rPr>
        <w:t>balance between protection and evolving autonomy is central to ensure best interests of adolescents.</w:t>
      </w:r>
      <w:r w:rsidR="005F1AA2" w:rsidRPr="004F2B59">
        <w:rPr>
          <w:rFonts w:ascii="Times New Roman" w:hAnsi="Times New Roman" w:cs="Times New Roman"/>
        </w:rPr>
        <w:t>”</w:t>
      </w:r>
      <w:r w:rsidR="005F1AA2" w:rsidRPr="004F2B59">
        <w:rPr>
          <w:rStyle w:val="FootnoteReference"/>
          <w:rFonts w:ascii="Times New Roman" w:hAnsi="Times New Roman" w:cs="Times New Roman"/>
        </w:rPr>
        <w:footnoteReference w:id="100"/>
      </w:r>
      <w:r w:rsidR="005F1AA2" w:rsidRPr="004F2B59">
        <w:rPr>
          <w:rFonts w:ascii="Times New Roman" w:hAnsi="Times New Roman" w:cs="Times New Roman"/>
        </w:rPr>
        <w:t xml:space="preserve"> The case was an appeal filed by the</w:t>
      </w:r>
      <w:r w:rsidR="0014268D" w:rsidRPr="004F2B59">
        <w:rPr>
          <w:rFonts w:ascii="Times New Roman" w:hAnsi="Times New Roman" w:cs="Times New Roman"/>
        </w:rPr>
        <w:t xml:space="preserve"> accused</w:t>
      </w:r>
      <w:r w:rsidR="005F1AA2" w:rsidRPr="004F2B59">
        <w:rPr>
          <w:rFonts w:ascii="Times New Roman" w:hAnsi="Times New Roman" w:cs="Times New Roman"/>
        </w:rPr>
        <w:t xml:space="preserve"> in the High Court, aggrieved from the decision of the Special Court</w:t>
      </w:r>
      <w:r w:rsidR="0014268D" w:rsidRPr="004F2B59">
        <w:rPr>
          <w:rFonts w:ascii="Times New Roman" w:hAnsi="Times New Roman" w:cs="Times New Roman"/>
        </w:rPr>
        <w:t xml:space="preserve"> which had convicted him of the offences of kidnapping, rape (IPC, 1860) and sexual assault (POCSO Act)</w:t>
      </w:r>
      <w:r w:rsidR="005F1AA2" w:rsidRPr="004F2B59">
        <w:rPr>
          <w:rFonts w:ascii="Times New Roman" w:hAnsi="Times New Roman" w:cs="Times New Roman"/>
        </w:rPr>
        <w:t xml:space="preserve">. It involved the elopement and subsequent marriage of the accused with the victim who was above 14 years of age at the time.At the time of appeal, the victim had begotten the child of the accused and was above </w:t>
      </w:r>
      <w:r w:rsidR="005F1AA2" w:rsidRPr="004F2B59">
        <w:rPr>
          <w:rFonts w:ascii="Times New Roman" w:hAnsi="Times New Roman" w:cs="Times New Roman"/>
        </w:rPr>
        <w:lastRenderedPageBreak/>
        <w:t>17 years of age. The court set aside the conviction of the accused</w:t>
      </w:r>
      <w:r w:rsidR="0014268D" w:rsidRPr="004F2B59">
        <w:rPr>
          <w:rFonts w:ascii="Times New Roman" w:hAnsi="Times New Roman" w:cs="Times New Roman"/>
        </w:rPr>
        <w:t xml:space="preserve"> and urged for decriminalizing </w:t>
      </w:r>
      <w:r w:rsidR="00A336FE" w:rsidRPr="004F2B59">
        <w:rPr>
          <w:rFonts w:ascii="Times New Roman" w:hAnsi="Times New Roman" w:cs="Times New Roman"/>
        </w:rPr>
        <w:t xml:space="preserve">consensual sexual acts for adolescents above the age of 16 years through legal amendments. It further advocated for integrating </w:t>
      </w:r>
      <w:r w:rsidR="00A336FE" w:rsidRPr="004F2B59">
        <w:rPr>
          <w:rFonts w:ascii="Times New Roman" w:hAnsi="Times New Roman" w:cs="Times New Roman"/>
          <w:i/>
          <w:iCs/>
        </w:rPr>
        <w:t xml:space="preserve">comprehensive sexuality and life skill education </w:t>
      </w:r>
      <w:r w:rsidR="00A336FE" w:rsidRPr="004F2B59">
        <w:rPr>
          <w:rFonts w:ascii="Times New Roman" w:hAnsi="Times New Roman" w:cs="Times New Roman"/>
        </w:rPr>
        <w:t>in school curriculums.</w:t>
      </w:r>
      <w:r w:rsidR="00A336FE" w:rsidRPr="004F2B59">
        <w:rPr>
          <w:rStyle w:val="FootnoteReference"/>
          <w:rFonts w:ascii="Times New Roman" w:hAnsi="Times New Roman" w:cs="Times New Roman"/>
        </w:rPr>
        <w:footnoteReference w:id="101"/>
      </w:r>
    </w:p>
    <w:p w:rsidR="002276F5" w:rsidRPr="004F2B59" w:rsidRDefault="002276F5" w:rsidP="004F2B59">
      <w:pPr>
        <w:spacing w:after="0" w:line="320" w:lineRule="exact"/>
        <w:ind w:firstLine="432"/>
        <w:jc w:val="both"/>
        <w:rPr>
          <w:rFonts w:ascii="Times New Roman" w:hAnsi="Times New Roman" w:cs="Times New Roman"/>
        </w:rPr>
      </w:pPr>
      <w:r w:rsidRPr="004F2B59">
        <w:rPr>
          <w:rFonts w:ascii="Times New Roman" w:hAnsi="Times New Roman" w:cs="Times New Roman"/>
        </w:rPr>
        <w:t>I</w:t>
      </w:r>
      <w:r w:rsidR="00A370A4" w:rsidRPr="004F2B59">
        <w:rPr>
          <w:rFonts w:ascii="Times New Roman" w:hAnsi="Times New Roman" w:cs="Times New Roman"/>
        </w:rPr>
        <w:t xml:space="preserve">n a recent judgement pronounced by </w:t>
      </w:r>
      <w:r w:rsidRPr="004F2B59">
        <w:rPr>
          <w:rFonts w:ascii="Times New Roman" w:hAnsi="Times New Roman" w:cs="Times New Roman"/>
        </w:rPr>
        <w:t>the Allahabad High Court</w:t>
      </w:r>
      <w:r w:rsidR="00A370A4" w:rsidRPr="004F2B59">
        <w:rPr>
          <w:rFonts w:ascii="Times New Roman" w:hAnsi="Times New Roman" w:cs="Times New Roman"/>
        </w:rPr>
        <w:t xml:space="preserve">, the hon’ble court </w:t>
      </w:r>
      <w:r w:rsidR="00B52553" w:rsidRPr="004F2B59">
        <w:rPr>
          <w:rFonts w:ascii="Times New Roman" w:hAnsi="Times New Roman" w:cs="Times New Roman"/>
        </w:rPr>
        <w:t xml:space="preserve"> echoed the same sentiments as that of the Calcutta High Court when it opined that the primary aim of the POCSO Act was not criminalization of consensual romantic relationships between children and adolescents.</w:t>
      </w:r>
      <w:r w:rsidR="002731A0" w:rsidRPr="004F2B59">
        <w:rPr>
          <w:rStyle w:val="FootnoteReference"/>
          <w:rFonts w:ascii="Times New Roman" w:hAnsi="Times New Roman" w:cs="Times New Roman"/>
        </w:rPr>
        <w:footnoteReference w:id="102"/>
      </w:r>
      <w:r w:rsidR="002731A0" w:rsidRPr="004F2B59">
        <w:rPr>
          <w:rFonts w:ascii="Times New Roman" w:hAnsi="Times New Roman" w:cs="Times New Roman"/>
        </w:rPr>
        <w:t xml:space="preserve"> The court held that the presence of a consensual romantic relationship between the accused and the victim should be a consideration in granting of bail under the Act as denying it will</w:t>
      </w:r>
      <w:r w:rsidR="003B58B4" w:rsidRPr="004F2B59">
        <w:rPr>
          <w:rFonts w:ascii="Times New Roman" w:hAnsi="Times New Roman" w:cs="Times New Roman"/>
        </w:rPr>
        <w:t xml:space="preserve"> “</w:t>
      </w:r>
      <w:r w:rsidR="003B58B4" w:rsidRPr="004F2B59">
        <w:rPr>
          <w:rFonts w:ascii="Times New Roman" w:hAnsi="Times New Roman" w:cs="Times New Roman"/>
          <w:i/>
          <w:iCs/>
        </w:rPr>
        <w:t>amount toperversity of justice if the statement of victim was ignored and accused was left to suffer behind jail.</w:t>
      </w:r>
      <w:r w:rsidR="003B58B4" w:rsidRPr="004F2B59">
        <w:rPr>
          <w:rFonts w:ascii="Times New Roman" w:hAnsi="Times New Roman" w:cs="Times New Roman"/>
        </w:rPr>
        <w:t>”</w:t>
      </w:r>
      <w:r w:rsidR="003B58B4" w:rsidRPr="004F2B59">
        <w:rPr>
          <w:rStyle w:val="FootnoteReference"/>
          <w:rFonts w:ascii="Times New Roman" w:hAnsi="Times New Roman" w:cs="Times New Roman"/>
        </w:rPr>
        <w:footnoteReference w:id="103"/>
      </w:r>
      <w:r w:rsidR="003B58B4" w:rsidRPr="004F2B59">
        <w:rPr>
          <w:rFonts w:ascii="Times New Roman" w:hAnsi="Times New Roman" w:cs="Times New Roman"/>
        </w:rPr>
        <w:t xml:space="preserve"> Similar sentiments were expressed by the</w:t>
      </w:r>
      <w:r w:rsidR="004D4217" w:rsidRPr="004F2B59">
        <w:rPr>
          <w:rFonts w:ascii="Times New Roman" w:hAnsi="Times New Roman" w:cs="Times New Roman"/>
        </w:rPr>
        <w:t xml:space="preserve"> same</w:t>
      </w:r>
      <w:r w:rsidR="003B58B4" w:rsidRPr="004F2B59">
        <w:rPr>
          <w:rFonts w:ascii="Times New Roman" w:hAnsi="Times New Roman" w:cs="Times New Roman"/>
        </w:rPr>
        <w:t xml:space="preserve"> court in a previous judgement where</w:t>
      </w:r>
      <w:r w:rsidR="00C56E5A" w:rsidRPr="004F2B59">
        <w:rPr>
          <w:rFonts w:ascii="Times New Roman" w:hAnsi="Times New Roman" w:cs="Times New Roman"/>
        </w:rPr>
        <w:t xml:space="preserve"> a 14 and a half year old girl </w:t>
      </w:r>
      <w:r w:rsidR="006F6809" w:rsidRPr="004F2B59">
        <w:rPr>
          <w:rFonts w:ascii="Times New Roman" w:hAnsi="Times New Roman" w:cs="Times New Roman"/>
        </w:rPr>
        <w:t>eloped and married her lover and gave birth to a baby boy who was 7-8 months old at the time of the appeal.</w:t>
      </w:r>
      <w:r w:rsidR="004D4217" w:rsidRPr="004F2B59">
        <w:rPr>
          <w:rStyle w:val="FootnoteReference"/>
          <w:rFonts w:ascii="Times New Roman" w:hAnsi="Times New Roman" w:cs="Times New Roman"/>
        </w:rPr>
        <w:footnoteReference w:id="104"/>
      </w:r>
      <w:r w:rsidR="00923B3D" w:rsidRPr="004F2B59">
        <w:rPr>
          <w:rFonts w:ascii="Times New Roman" w:hAnsi="Times New Roman" w:cs="Times New Roman"/>
        </w:rPr>
        <w:t>The court was of the opinion that it was not the intention of the POCSO Act to bring within ambit, cases of romantic relationships between teenagers and adolescents.</w:t>
      </w:r>
      <w:r w:rsidR="00923B3D" w:rsidRPr="004F2B59">
        <w:rPr>
          <w:rStyle w:val="FootnoteReference"/>
          <w:rFonts w:ascii="Times New Roman" w:hAnsi="Times New Roman" w:cs="Times New Roman"/>
        </w:rPr>
        <w:footnoteReference w:id="105"/>
      </w:r>
      <w:r w:rsidR="002F6DDD" w:rsidRPr="004F2B59">
        <w:rPr>
          <w:rFonts w:ascii="Times New Roman" w:hAnsi="Times New Roman" w:cs="Times New Roman"/>
        </w:rPr>
        <w:t xml:space="preserve">The court recognized that the consent of a minor girl holds no evidentiary value in the eyes of law but also acknowledged the precariousness of the case where the accused had been in prison as a result of the decision by the Special POCSO court and the girl had refused to go to her </w:t>
      </w:r>
      <w:r w:rsidR="00331DA4" w:rsidRPr="004F2B59">
        <w:rPr>
          <w:rFonts w:ascii="Times New Roman" w:hAnsi="Times New Roman" w:cs="Times New Roman"/>
        </w:rPr>
        <w:t>parents’</w:t>
      </w:r>
      <w:r w:rsidR="002F6DDD" w:rsidRPr="004F2B59">
        <w:rPr>
          <w:rFonts w:ascii="Times New Roman" w:hAnsi="Times New Roman" w:cs="Times New Roman"/>
        </w:rPr>
        <w:t xml:space="preserve"> house and residing in a Children’s home with her infant child. Referring to these facts, the court granted bail to the accused as it said that not doing so would lead to more misery for the </w:t>
      </w:r>
      <w:r w:rsidR="002F6DDD" w:rsidRPr="004F2B59">
        <w:rPr>
          <w:rFonts w:ascii="Times New Roman" w:hAnsi="Times New Roman" w:cs="Times New Roman"/>
        </w:rPr>
        <w:lastRenderedPageBreak/>
        <w:t>couple when the accused was more than ready to keep his wife and child with him and take good care of them too.</w:t>
      </w:r>
      <w:r w:rsidR="002F6DDD" w:rsidRPr="004F2B59">
        <w:rPr>
          <w:rStyle w:val="FootnoteReference"/>
          <w:rFonts w:ascii="Times New Roman" w:hAnsi="Times New Roman" w:cs="Times New Roman"/>
        </w:rPr>
        <w:footnoteReference w:id="106"/>
      </w:r>
    </w:p>
    <w:p w:rsidR="002A059C" w:rsidRPr="004F2B59" w:rsidRDefault="00787421" w:rsidP="004F2B59">
      <w:pPr>
        <w:spacing w:after="0" w:line="320" w:lineRule="exact"/>
        <w:ind w:firstLine="432"/>
        <w:jc w:val="both"/>
        <w:rPr>
          <w:rFonts w:ascii="Times New Roman" w:hAnsi="Times New Roman" w:cs="Times New Roman"/>
          <w:i/>
          <w:iCs/>
          <w:lang w:val="en-US"/>
        </w:rPr>
      </w:pPr>
      <w:r w:rsidRPr="004F2B59">
        <w:rPr>
          <w:rFonts w:ascii="Times New Roman" w:hAnsi="Times New Roman" w:cs="Times New Roman"/>
          <w:lang w:val="en-US"/>
        </w:rPr>
        <w:t xml:space="preserve">The Madras High Court </w:t>
      </w:r>
      <w:r w:rsidR="006A372F" w:rsidRPr="004F2B59">
        <w:rPr>
          <w:rFonts w:ascii="Times New Roman" w:hAnsi="Times New Roman" w:cs="Times New Roman"/>
          <w:lang w:val="en-US"/>
        </w:rPr>
        <w:t xml:space="preserve"> also </w:t>
      </w:r>
      <w:r w:rsidR="008B0A20" w:rsidRPr="004F2B59">
        <w:rPr>
          <w:rFonts w:ascii="Times New Roman" w:hAnsi="Times New Roman" w:cs="Times New Roman"/>
          <w:lang w:val="en-US"/>
        </w:rPr>
        <w:t xml:space="preserve">in </w:t>
      </w:r>
      <w:r w:rsidR="008E1719" w:rsidRPr="004F2B59">
        <w:rPr>
          <w:rFonts w:ascii="Times New Roman" w:hAnsi="Times New Roman" w:cs="Times New Roman"/>
          <w:i/>
          <w:iCs/>
          <w:lang w:val="en-US"/>
        </w:rPr>
        <w:t>Sabari @ Sabarinathan v. Inspector of Police &amp; Ors.</w:t>
      </w:r>
      <w:r w:rsidR="008E1719" w:rsidRPr="004F2B59">
        <w:rPr>
          <w:rStyle w:val="FootnoteReference"/>
          <w:rFonts w:ascii="Times New Roman" w:hAnsi="Times New Roman" w:cs="Times New Roman"/>
          <w:i/>
          <w:iCs/>
          <w:lang w:val="en-US"/>
        </w:rPr>
        <w:footnoteReference w:id="107"/>
      </w:r>
      <w:r w:rsidR="008E1719" w:rsidRPr="004F2B59">
        <w:rPr>
          <w:rFonts w:ascii="Times New Roman" w:hAnsi="Times New Roman" w:cs="Times New Roman"/>
          <w:lang w:val="en-US"/>
        </w:rPr>
        <w:t xml:space="preserve"> suggested redefining the definition of </w:t>
      </w:r>
      <w:r w:rsidR="008E1719" w:rsidRPr="004F2B59">
        <w:rPr>
          <w:rFonts w:ascii="Times New Roman" w:hAnsi="Times New Roman" w:cs="Times New Roman"/>
          <w:i/>
          <w:iCs/>
          <w:lang w:val="en-US"/>
        </w:rPr>
        <w:t xml:space="preserve">child </w:t>
      </w:r>
      <w:r w:rsidR="008E1719" w:rsidRPr="004F2B59">
        <w:rPr>
          <w:rFonts w:ascii="Times New Roman" w:hAnsi="Times New Roman" w:cs="Times New Roman"/>
          <w:lang w:val="en-US"/>
        </w:rPr>
        <w:t>to 16 years under section 2(d) of the POCSO Act.</w:t>
      </w:r>
      <w:r w:rsidR="008E1719" w:rsidRPr="004F2B59">
        <w:rPr>
          <w:rStyle w:val="FootnoteReference"/>
          <w:rFonts w:ascii="Times New Roman" w:hAnsi="Times New Roman" w:cs="Times New Roman"/>
          <w:lang w:val="en-US"/>
        </w:rPr>
        <w:footnoteReference w:id="108"/>
      </w:r>
      <w:r w:rsidR="008E1719" w:rsidRPr="004F2B59">
        <w:rPr>
          <w:rFonts w:ascii="Times New Roman" w:hAnsi="Times New Roman" w:cs="Times New Roman"/>
          <w:lang w:val="en-US"/>
        </w:rPr>
        <w:t xml:space="preserve"> It had also suggested the implementation of a close-in-age exception </w:t>
      </w:r>
      <w:r w:rsidR="00E51483" w:rsidRPr="004F2B59">
        <w:rPr>
          <w:rFonts w:ascii="Times New Roman" w:hAnsi="Times New Roman" w:cs="Times New Roman"/>
          <w:lang w:val="en-US"/>
        </w:rPr>
        <w:t xml:space="preserve">through an amendment to the act, </w:t>
      </w:r>
      <w:r w:rsidR="008E1719" w:rsidRPr="004F2B59">
        <w:rPr>
          <w:rFonts w:ascii="Times New Roman" w:hAnsi="Times New Roman" w:cs="Times New Roman"/>
          <w:lang w:val="en-US"/>
        </w:rPr>
        <w:t>to the eff</w:t>
      </w:r>
      <w:r w:rsidR="00E51483" w:rsidRPr="004F2B59">
        <w:rPr>
          <w:rFonts w:ascii="Times New Roman" w:hAnsi="Times New Roman" w:cs="Times New Roman"/>
          <w:lang w:val="en-US"/>
        </w:rPr>
        <w:t xml:space="preserve">ect that </w:t>
      </w:r>
      <w:r w:rsidR="00ED1D71" w:rsidRPr="004F2B59">
        <w:rPr>
          <w:rFonts w:ascii="Times New Roman" w:hAnsi="Times New Roman" w:cs="Times New Roman"/>
          <w:lang w:val="en-US"/>
        </w:rPr>
        <w:t>if the accused was not more than five years older than the consenting victim of girl of 16 years or more.</w:t>
      </w:r>
      <w:r w:rsidR="00ED1D71" w:rsidRPr="004F2B59">
        <w:rPr>
          <w:rStyle w:val="FootnoteReference"/>
          <w:rFonts w:ascii="Times New Roman" w:hAnsi="Times New Roman" w:cs="Times New Roman"/>
          <w:lang w:val="en-US"/>
        </w:rPr>
        <w:footnoteReference w:id="109"/>
      </w:r>
      <w:r w:rsidR="0042651E" w:rsidRPr="004F2B59">
        <w:rPr>
          <w:rFonts w:ascii="Times New Roman" w:hAnsi="Times New Roman" w:cs="Times New Roman"/>
          <w:lang w:val="en-US"/>
        </w:rPr>
        <w:t xml:space="preserve"> The judgement in this case was reiterated by the same court in </w:t>
      </w:r>
      <w:r w:rsidR="0042651E" w:rsidRPr="004F2B59">
        <w:rPr>
          <w:rFonts w:ascii="Times New Roman" w:hAnsi="Times New Roman" w:cs="Times New Roman"/>
          <w:i/>
          <w:iCs/>
          <w:lang w:val="en-US"/>
        </w:rPr>
        <w:t>Vijayalakshmi v. Inspector of Police</w:t>
      </w:r>
      <w:r w:rsidR="0042651E" w:rsidRPr="004F2B59">
        <w:rPr>
          <w:rStyle w:val="FootnoteReference"/>
          <w:rFonts w:ascii="Times New Roman" w:hAnsi="Times New Roman" w:cs="Times New Roman"/>
          <w:lang w:val="en-US"/>
        </w:rPr>
        <w:footnoteReference w:id="110"/>
      </w:r>
      <w:r w:rsidR="007F29B6" w:rsidRPr="004F2B59">
        <w:rPr>
          <w:rFonts w:ascii="Times New Roman" w:hAnsi="Times New Roman" w:cs="Times New Roman"/>
          <w:lang w:val="en-US"/>
        </w:rPr>
        <w:t xml:space="preserve"> that the scheme of POCSO Act neither intended to include romantic relationships within its scope nor did it seek to criminalize those indulging in them. The court urged to not perceive these relationships from the point of view of adults it signifies a lack of empathy.</w:t>
      </w:r>
      <w:r w:rsidR="007F29B6" w:rsidRPr="004F2B59">
        <w:rPr>
          <w:rStyle w:val="FootnoteReference"/>
          <w:rFonts w:ascii="Times New Roman" w:hAnsi="Times New Roman" w:cs="Times New Roman"/>
          <w:lang w:val="en-US"/>
        </w:rPr>
        <w:footnoteReference w:id="111"/>
      </w:r>
      <w:r w:rsidR="007F29B6" w:rsidRPr="004F2B59">
        <w:rPr>
          <w:rFonts w:ascii="Times New Roman" w:hAnsi="Times New Roman" w:cs="Times New Roman"/>
          <w:lang w:val="en-US"/>
        </w:rPr>
        <w:t xml:space="preserve"> Further, it also urged the legislature to keep in mind the changing</w:t>
      </w:r>
      <w:r w:rsidR="00A46B57" w:rsidRPr="004F2B59">
        <w:rPr>
          <w:rFonts w:ascii="Times New Roman" w:hAnsi="Times New Roman" w:cs="Times New Roman"/>
          <w:lang w:val="en-US"/>
        </w:rPr>
        <w:t xml:space="preserve"> nature of the society and the need to keep with it. </w:t>
      </w:r>
      <w:r w:rsidR="00DE073C" w:rsidRPr="004F2B59">
        <w:rPr>
          <w:rFonts w:ascii="Times New Roman" w:hAnsi="Times New Roman" w:cs="Times New Roman"/>
          <w:lang w:val="en-US"/>
        </w:rPr>
        <w:t>Considering</w:t>
      </w:r>
      <w:r w:rsidR="00A46B57" w:rsidRPr="004F2B59">
        <w:rPr>
          <w:rFonts w:ascii="Times New Roman" w:hAnsi="Times New Roman" w:cs="Times New Roman"/>
          <w:lang w:val="en-US"/>
        </w:rPr>
        <w:t xml:space="preserve"> these arguments, the court urged the legislature to bring about necessary amendments</w:t>
      </w:r>
      <w:r w:rsidR="00DE073C" w:rsidRPr="004F2B59">
        <w:rPr>
          <w:rFonts w:ascii="Times New Roman" w:hAnsi="Times New Roman" w:cs="Times New Roman"/>
          <w:lang w:val="en-US"/>
        </w:rPr>
        <w:t xml:space="preserve"> regarding consensual romantic relationships between children and adolescents</w:t>
      </w:r>
      <w:r w:rsidR="00A46B57" w:rsidRPr="004F2B59">
        <w:rPr>
          <w:rFonts w:ascii="Times New Roman" w:hAnsi="Times New Roman" w:cs="Times New Roman"/>
          <w:lang w:val="en-US"/>
        </w:rPr>
        <w:t xml:space="preserve"> under the Ac</w:t>
      </w:r>
      <w:r w:rsidR="00DE073C" w:rsidRPr="004F2B59">
        <w:rPr>
          <w:rFonts w:ascii="Times New Roman" w:hAnsi="Times New Roman" w:cs="Times New Roman"/>
          <w:lang w:val="en-US"/>
        </w:rPr>
        <w:t>t</w:t>
      </w:r>
      <w:r w:rsidR="00A46B57" w:rsidRPr="004F2B59">
        <w:rPr>
          <w:rFonts w:ascii="Times New Roman" w:hAnsi="Times New Roman" w:cs="Times New Roman"/>
          <w:lang w:val="en-US"/>
        </w:rPr>
        <w:t>.</w:t>
      </w:r>
      <w:r w:rsidR="00A46B57" w:rsidRPr="004F2B59">
        <w:rPr>
          <w:rStyle w:val="FootnoteReference"/>
          <w:rFonts w:ascii="Times New Roman" w:hAnsi="Times New Roman" w:cs="Times New Roman"/>
          <w:lang w:val="en-US"/>
        </w:rPr>
        <w:footnoteReference w:id="112"/>
      </w:r>
      <w:r w:rsidR="00BD5287" w:rsidRPr="004F2B59">
        <w:rPr>
          <w:rFonts w:ascii="Times New Roman" w:hAnsi="Times New Roman" w:cs="Times New Roman"/>
          <w:lang w:val="en-US"/>
        </w:rPr>
        <w:t>Similarly, the Karnataka High Court</w:t>
      </w:r>
      <w:r w:rsidR="00BD5287" w:rsidRPr="004F2B59">
        <w:rPr>
          <w:rStyle w:val="FootnoteReference"/>
          <w:rFonts w:ascii="Times New Roman" w:hAnsi="Times New Roman" w:cs="Times New Roman"/>
          <w:lang w:val="en-US"/>
        </w:rPr>
        <w:footnoteReference w:id="113"/>
      </w:r>
      <w:r w:rsidR="00BD5287" w:rsidRPr="004F2B59">
        <w:rPr>
          <w:rFonts w:ascii="Times New Roman" w:hAnsi="Times New Roman" w:cs="Times New Roman"/>
          <w:lang w:val="en-US"/>
        </w:rPr>
        <w:t xml:space="preserve"> and the Delhi High Court</w:t>
      </w:r>
      <w:r w:rsidR="00BD5287" w:rsidRPr="004F2B59">
        <w:rPr>
          <w:rStyle w:val="FootnoteReference"/>
          <w:rFonts w:ascii="Times New Roman" w:hAnsi="Times New Roman" w:cs="Times New Roman"/>
          <w:lang w:val="en-US"/>
        </w:rPr>
        <w:footnoteReference w:id="114"/>
      </w:r>
      <w:r w:rsidR="00BD5287" w:rsidRPr="004F2B59">
        <w:rPr>
          <w:rFonts w:ascii="Times New Roman" w:hAnsi="Times New Roman" w:cs="Times New Roman"/>
          <w:lang w:val="en-US"/>
        </w:rPr>
        <w:t xml:space="preserve"> quashed proceedings under the POCSO Act of cases dealing with romantic relationships where the parties involved had got married and had a child in the process. </w:t>
      </w:r>
    </w:p>
    <w:p w:rsidR="008C57E0" w:rsidRPr="004F2B59" w:rsidRDefault="002153F4"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Despite the judiciary's consistent stance on non-criminalization of romantic relationships</w:t>
      </w:r>
      <w:r w:rsidR="00845342" w:rsidRPr="004F2B59">
        <w:rPr>
          <w:rFonts w:ascii="Times New Roman" w:hAnsi="Times New Roman" w:cs="Times New Roman"/>
          <w:lang w:val="en-US"/>
        </w:rPr>
        <w:t xml:space="preserve"> under POCSO</w:t>
      </w:r>
      <w:r w:rsidRPr="004F2B59">
        <w:rPr>
          <w:rFonts w:ascii="Times New Roman" w:hAnsi="Times New Roman" w:cs="Times New Roman"/>
          <w:lang w:val="en-US"/>
        </w:rPr>
        <w:t xml:space="preserve">, the </w:t>
      </w:r>
      <w:r w:rsidR="00845342" w:rsidRPr="004F2B59">
        <w:rPr>
          <w:rFonts w:ascii="Times New Roman" w:hAnsi="Times New Roman" w:cs="Times New Roman"/>
          <w:lang w:val="en-US"/>
        </w:rPr>
        <w:t xml:space="preserve">Government of India, in December 2022, stated in the Parliament that it doesn’t intend to lower </w:t>
      </w:r>
      <w:r w:rsidR="00845342" w:rsidRPr="004F2B59">
        <w:rPr>
          <w:rFonts w:ascii="Times New Roman" w:hAnsi="Times New Roman" w:cs="Times New Roman"/>
          <w:lang w:val="en-US"/>
        </w:rPr>
        <w:lastRenderedPageBreak/>
        <w:t>the age of consent from 18 years to 16 years.</w:t>
      </w:r>
      <w:r w:rsidR="00845342" w:rsidRPr="004F2B59">
        <w:rPr>
          <w:rStyle w:val="FootnoteReference"/>
          <w:rFonts w:ascii="Times New Roman" w:hAnsi="Times New Roman" w:cs="Times New Roman"/>
          <w:lang w:val="en-US"/>
        </w:rPr>
        <w:footnoteReference w:id="115"/>
      </w:r>
      <w:r w:rsidR="00845342" w:rsidRPr="004F2B59">
        <w:rPr>
          <w:rFonts w:ascii="Times New Roman" w:hAnsi="Times New Roman" w:cs="Times New Roman"/>
          <w:lang w:val="en-US"/>
        </w:rPr>
        <w:t>However, in 2023, two High Courts, namely the Karnataka High Court</w:t>
      </w:r>
      <w:r w:rsidR="00845342" w:rsidRPr="004F2B59">
        <w:rPr>
          <w:rStyle w:val="FootnoteReference"/>
          <w:rFonts w:ascii="Times New Roman" w:hAnsi="Times New Roman" w:cs="Times New Roman"/>
          <w:lang w:val="en-US"/>
        </w:rPr>
        <w:footnoteReference w:id="116"/>
      </w:r>
      <w:r w:rsidR="00845342" w:rsidRPr="004F2B59">
        <w:rPr>
          <w:rFonts w:ascii="Times New Roman" w:hAnsi="Times New Roman" w:cs="Times New Roman"/>
          <w:lang w:val="en-US"/>
        </w:rPr>
        <w:t xml:space="preserve"> and the Madhya Pradesh High Court</w:t>
      </w:r>
      <w:r w:rsidR="00845342" w:rsidRPr="004F2B59">
        <w:rPr>
          <w:rStyle w:val="FootnoteReference"/>
          <w:rFonts w:ascii="Times New Roman" w:hAnsi="Times New Roman" w:cs="Times New Roman"/>
          <w:lang w:val="en-US"/>
        </w:rPr>
        <w:footnoteReference w:id="117"/>
      </w:r>
      <w:r w:rsidR="00845342" w:rsidRPr="004F2B59">
        <w:rPr>
          <w:rFonts w:ascii="Times New Roman" w:hAnsi="Times New Roman" w:cs="Times New Roman"/>
          <w:lang w:val="en-US"/>
        </w:rPr>
        <w:t xml:space="preserve">requested the Law Commission of India to suggest amendments to the POCSO Act regarding cases where </w:t>
      </w:r>
      <w:r w:rsidR="004607BF" w:rsidRPr="004F2B59">
        <w:rPr>
          <w:rFonts w:ascii="Times New Roman" w:hAnsi="Times New Roman" w:cs="Times New Roman"/>
          <w:lang w:val="en-US"/>
        </w:rPr>
        <w:t xml:space="preserve">the </w:t>
      </w:r>
      <w:r w:rsidR="004607BF" w:rsidRPr="004F2B59">
        <w:rPr>
          <w:rFonts w:ascii="Times New Roman" w:hAnsi="Times New Roman" w:cs="Times New Roman"/>
          <w:i/>
          <w:iCs/>
          <w:lang w:val="en-US"/>
        </w:rPr>
        <w:t xml:space="preserve">de facto </w:t>
      </w:r>
      <w:r w:rsidR="00845342" w:rsidRPr="004F2B59">
        <w:rPr>
          <w:rFonts w:ascii="Times New Roman" w:hAnsi="Times New Roman" w:cs="Times New Roman"/>
          <w:lang w:val="en-US"/>
        </w:rPr>
        <w:t>consent of the minor is present.</w:t>
      </w:r>
      <w:r w:rsidR="004607BF" w:rsidRPr="004F2B59">
        <w:rPr>
          <w:rFonts w:ascii="Times New Roman" w:hAnsi="Times New Roman" w:cs="Times New Roman"/>
          <w:lang w:val="en-US"/>
        </w:rPr>
        <w:t xml:space="preserve"> It urged the Law Commission to amend the Act to the tune that vests discretionary power on the Special Court Judge to not levy minimum sentence</w:t>
      </w:r>
      <w:r w:rsidR="009E78BE" w:rsidRPr="004F2B59">
        <w:rPr>
          <w:rFonts w:ascii="Times New Roman" w:hAnsi="Times New Roman" w:cs="Times New Roman"/>
          <w:lang w:val="en-US"/>
        </w:rPr>
        <w:t xml:space="preserve"> in cases where there was a </w:t>
      </w:r>
      <w:r w:rsidR="009E78BE" w:rsidRPr="004F2B59">
        <w:rPr>
          <w:rFonts w:ascii="Times New Roman" w:hAnsi="Times New Roman" w:cs="Times New Roman"/>
          <w:i/>
          <w:iCs/>
          <w:lang w:val="en-US"/>
        </w:rPr>
        <w:t xml:space="preserve">de facto </w:t>
      </w:r>
      <w:r w:rsidR="009E78BE" w:rsidRPr="004F2B59">
        <w:rPr>
          <w:rFonts w:ascii="Times New Roman" w:hAnsi="Times New Roman" w:cs="Times New Roman"/>
          <w:lang w:val="en-US"/>
        </w:rPr>
        <w:t>consent of the victim.</w:t>
      </w:r>
      <w:r w:rsidR="009E78BE" w:rsidRPr="004F2B59">
        <w:rPr>
          <w:rStyle w:val="FootnoteReference"/>
          <w:rFonts w:ascii="Times New Roman" w:hAnsi="Times New Roman" w:cs="Times New Roman"/>
          <w:lang w:val="en-US"/>
        </w:rPr>
        <w:footnoteReference w:id="118"/>
      </w:r>
      <w:r w:rsidR="006A372F" w:rsidRPr="004F2B59">
        <w:rPr>
          <w:rFonts w:ascii="Times New Roman" w:hAnsi="Times New Roman" w:cs="Times New Roman"/>
          <w:lang w:val="en-US"/>
        </w:rPr>
        <w:t>It is pertinent to note here, that t</w:t>
      </w:r>
      <w:r w:rsidR="009E78BE" w:rsidRPr="004F2B59">
        <w:rPr>
          <w:rFonts w:ascii="Times New Roman" w:hAnsi="Times New Roman" w:cs="Times New Roman"/>
          <w:lang w:val="en-US"/>
        </w:rPr>
        <w:t xml:space="preserve">he Law Commission in its </w:t>
      </w:r>
      <w:r w:rsidR="001368E1" w:rsidRPr="004F2B59">
        <w:rPr>
          <w:rFonts w:ascii="Times New Roman" w:hAnsi="Times New Roman" w:cs="Times New Roman"/>
          <w:lang w:val="en-US"/>
        </w:rPr>
        <w:t>283</w:t>
      </w:r>
      <w:r w:rsidR="001368E1" w:rsidRPr="004F2B59">
        <w:rPr>
          <w:rFonts w:ascii="Times New Roman" w:hAnsi="Times New Roman" w:cs="Times New Roman"/>
          <w:vertAlign w:val="superscript"/>
          <w:lang w:val="en-US"/>
        </w:rPr>
        <w:t>rd</w:t>
      </w:r>
      <w:r w:rsidR="009E78BE" w:rsidRPr="004F2B59">
        <w:rPr>
          <w:rFonts w:ascii="Times New Roman" w:hAnsi="Times New Roman" w:cs="Times New Roman"/>
          <w:lang w:val="en-US"/>
        </w:rPr>
        <w:t>report titled “</w:t>
      </w:r>
      <w:r w:rsidR="009E78BE" w:rsidRPr="004F2B59">
        <w:rPr>
          <w:rFonts w:ascii="Times New Roman" w:hAnsi="Times New Roman" w:cs="Times New Roman"/>
          <w:i/>
          <w:iCs/>
          <w:lang w:val="en-US"/>
        </w:rPr>
        <w:t>Age of Consent under the Protection of Children from Sexual Offences Act, 2012</w:t>
      </w:r>
      <w:r w:rsidR="009E78BE" w:rsidRPr="004F2B59">
        <w:rPr>
          <w:rFonts w:ascii="Times New Roman" w:hAnsi="Times New Roman" w:cs="Times New Roman"/>
          <w:lang w:val="en-US"/>
        </w:rPr>
        <w:t xml:space="preserve">” advised against </w:t>
      </w:r>
      <w:r w:rsidR="008C57E0" w:rsidRPr="004F2B59">
        <w:rPr>
          <w:rFonts w:ascii="Times New Roman" w:hAnsi="Times New Roman" w:cs="Times New Roman"/>
          <w:lang w:val="en-US"/>
        </w:rPr>
        <w:t>reduction of the</w:t>
      </w:r>
      <w:r w:rsidR="009E78BE" w:rsidRPr="004F2B59">
        <w:rPr>
          <w:rFonts w:ascii="Times New Roman" w:hAnsi="Times New Roman" w:cs="Times New Roman"/>
          <w:lang w:val="en-US"/>
        </w:rPr>
        <w:t xml:space="preserve"> age of co</w:t>
      </w:r>
      <w:r w:rsidR="006A372F" w:rsidRPr="004F2B59">
        <w:rPr>
          <w:rFonts w:ascii="Times New Roman" w:hAnsi="Times New Roman" w:cs="Times New Roman"/>
          <w:lang w:val="en-US"/>
        </w:rPr>
        <w:t>nsent from 18 years to 16 years on grounds</w:t>
      </w:r>
      <w:r w:rsidR="00924EEA" w:rsidRPr="004F2B59">
        <w:rPr>
          <w:rFonts w:ascii="Times New Roman" w:hAnsi="Times New Roman" w:cs="Times New Roman"/>
          <w:lang w:val="en-US"/>
        </w:rPr>
        <w:t xml:space="preserve"> such as child marriage, forced prostitution, exploitation and secondary victimization.</w:t>
      </w:r>
      <w:r w:rsidR="00924EEA" w:rsidRPr="004F2B59">
        <w:rPr>
          <w:rStyle w:val="FootnoteReference"/>
          <w:rFonts w:ascii="Times New Roman" w:hAnsi="Times New Roman" w:cs="Times New Roman"/>
          <w:lang w:val="en-US"/>
        </w:rPr>
        <w:footnoteReference w:id="119"/>
      </w:r>
    </w:p>
    <w:p w:rsidR="008A4FC6" w:rsidRPr="004F2B59" w:rsidRDefault="00AC2281" w:rsidP="004F2B59">
      <w:pPr>
        <w:spacing w:after="0" w:line="320" w:lineRule="exact"/>
        <w:ind w:firstLine="432"/>
        <w:jc w:val="both"/>
        <w:rPr>
          <w:rFonts w:ascii="Times New Roman" w:hAnsi="Times New Roman" w:cs="Times New Roman"/>
        </w:rPr>
      </w:pPr>
      <w:r w:rsidRPr="004F2B59">
        <w:rPr>
          <w:rFonts w:ascii="Times New Roman" w:hAnsi="Times New Roman" w:cs="Times New Roman"/>
          <w:lang w:val="en-US"/>
        </w:rPr>
        <w:t>While the report held that there cannot be an automatic decriminalization of sexual acts between individuals aged between 16 to 18 years, it did recommend “</w:t>
      </w:r>
      <w:r w:rsidRPr="004F2B59">
        <w:rPr>
          <w:rFonts w:ascii="Times New Roman" w:hAnsi="Times New Roman" w:cs="Times New Roman"/>
          <w:i/>
          <w:iCs/>
          <w:lang w:val="en-US"/>
        </w:rPr>
        <w:t>introducing judicial discretion in sentencing to strike a delicate balance to address the issue at hand and at the same time protecting children from sexual exploitation</w:t>
      </w:r>
      <w:r w:rsidRPr="004F2B59">
        <w:rPr>
          <w:rFonts w:ascii="Times New Roman" w:hAnsi="Times New Roman" w:cs="Times New Roman"/>
          <w:lang w:val="en-US"/>
        </w:rPr>
        <w:t>.”</w:t>
      </w:r>
      <w:r w:rsidRPr="004F2B59">
        <w:rPr>
          <w:rStyle w:val="FootnoteReference"/>
          <w:rFonts w:ascii="Times New Roman" w:hAnsi="Times New Roman" w:cs="Times New Roman"/>
          <w:lang w:val="en-US"/>
        </w:rPr>
        <w:footnoteReference w:id="120"/>
      </w:r>
      <w:r w:rsidRPr="004F2B59">
        <w:rPr>
          <w:rFonts w:ascii="Times New Roman" w:hAnsi="Times New Roman" w:cs="Times New Roman"/>
          <w:lang w:val="en-US"/>
        </w:rPr>
        <w:t xml:space="preserve"> It was opined that </w:t>
      </w:r>
      <w:r w:rsidR="00C91246" w:rsidRPr="004F2B59">
        <w:rPr>
          <w:rFonts w:ascii="Times New Roman" w:hAnsi="Times New Roman" w:cs="Times New Roman"/>
          <w:i/>
          <w:iCs/>
          <w:lang w:val="en-US"/>
        </w:rPr>
        <w:t xml:space="preserve">guided </w:t>
      </w:r>
      <w:r w:rsidRPr="004F2B59">
        <w:rPr>
          <w:rFonts w:ascii="Times New Roman" w:hAnsi="Times New Roman" w:cs="Times New Roman"/>
          <w:i/>
          <w:iCs/>
          <w:lang w:val="en-US"/>
        </w:rPr>
        <w:t>judicial discretion</w:t>
      </w:r>
      <w:r w:rsidRPr="004F2B59">
        <w:rPr>
          <w:rFonts w:ascii="Times New Roman" w:hAnsi="Times New Roman" w:cs="Times New Roman"/>
          <w:lang w:val="en-US"/>
        </w:rPr>
        <w:t xml:space="preserve"> during sentencing presents a more reasonable approach</w:t>
      </w:r>
      <w:r w:rsidR="00C10DA0" w:rsidRPr="004F2B59">
        <w:rPr>
          <w:rFonts w:ascii="Times New Roman" w:hAnsi="Times New Roman" w:cs="Times New Roman"/>
          <w:lang w:val="en-US"/>
        </w:rPr>
        <w:t xml:space="preserve">, exercisable at the discretion of the Special Court when there is a presence of a </w:t>
      </w:r>
      <w:r w:rsidR="00C10DA0" w:rsidRPr="004F2B59">
        <w:rPr>
          <w:rFonts w:ascii="Times New Roman" w:hAnsi="Times New Roman" w:cs="Times New Roman"/>
          <w:i/>
          <w:iCs/>
          <w:lang w:val="en-US"/>
        </w:rPr>
        <w:t xml:space="preserve">de-facto </w:t>
      </w:r>
      <w:r w:rsidR="00C10DA0" w:rsidRPr="004F2B59">
        <w:rPr>
          <w:rFonts w:ascii="Times New Roman" w:hAnsi="Times New Roman" w:cs="Times New Roman"/>
          <w:lang w:val="en-US"/>
        </w:rPr>
        <w:t xml:space="preserve">consent of the victim who is above 16 years old. Although, it was also recommended that such a discretion should be used judiciously as it should be applied only after determining that the </w:t>
      </w:r>
      <w:r w:rsidR="00C10DA0" w:rsidRPr="004F2B59">
        <w:rPr>
          <w:rFonts w:ascii="Times New Roman" w:hAnsi="Times New Roman" w:cs="Times New Roman"/>
          <w:i/>
          <w:iCs/>
          <w:lang w:val="en-US"/>
        </w:rPr>
        <w:t xml:space="preserve">de-facto </w:t>
      </w:r>
      <w:r w:rsidR="00C10DA0" w:rsidRPr="004F2B59">
        <w:rPr>
          <w:rFonts w:ascii="Times New Roman" w:hAnsi="Times New Roman" w:cs="Times New Roman"/>
          <w:lang w:val="en-US"/>
        </w:rPr>
        <w:t>consent was “</w:t>
      </w:r>
      <w:r w:rsidR="00C10DA0" w:rsidRPr="004F2B59">
        <w:rPr>
          <w:rFonts w:ascii="Times New Roman" w:hAnsi="Times New Roman" w:cs="Times New Roman"/>
          <w:i/>
          <w:iCs/>
        </w:rPr>
        <w:t xml:space="preserve">indeed free from any coercion, deception, </w:t>
      </w:r>
      <w:r w:rsidR="00C10DA0" w:rsidRPr="004F2B59">
        <w:rPr>
          <w:rFonts w:ascii="Times New Roman" w:hAnsi="Times New Roman" w:cs="Times New Roman"/>
          <w:i/>
          <w:iCs/>
        </w:rPr>
        <w:lastRenderedPageBreak/>
        <w:t>fraud or undue influence.</w:t>
      </w:r>
      <w:r w:rsidR="00C10DA0" w:rsidRPr="004F2B59">
        <w:rPr>
          <w:rFonts w:ascii="Times New Roman" w:hAnsi="Times New Roman" w:cs="Times New Roman"/>
        </w:rPr>
        <w:t>”</w:t>
      </w:r>
      <w:r w:rsidR="00C10DA0" w:rsidRPr="004F2B59">
        <w:rPr>
          <w:rStyle w:val="FootnoteReference"/>
          <w:rFonts w:ascii="Times New Roman" w:hAnsi="Times New Roman" w:cs="Times New Roman"/>
        </w:rPr>
        <w:footnoteReference w:id="121"/>
      </w:r>
      <w:r w:rsidR="00C91246" w:rsidRPr="004F2B59">
        <w:rPr>
          <w:rFonts w:ascii="Times New Roman" w:hAnsi="Times New Roman" w:cs="Times New Roman"/>
        </w:rPr>
        <w:t xml:space="preserve"> The report recommended amendments to section 4 (penetrative sexual assault) and section 8 (sexual assault) of the Act regarding the use of discretion in cases involving romantic relationships. According to it, </w:t>
      </w:r>
      <w:r w:rsidR="00191B1E" w:rsidRPr="004F2B59">
        <w:rPr>
          <w:rFonts w:ascii="Times New Roman" w:hAnsi="Times New Roman" w:cs="Times New Roman"/>
        </w:rPr>
        <w:t xml:space="preserve">in any case involving a child of 16 years or more, where the Special court was satisfied that there was an </w:t>
      </w:r>
      <w:r w:rsidR="00191B1E" w:rsidRPr="004F2B59">
        <w:rPr>
          <w:rFonts w:ascii="Times New Roman" w:hAnsi="Times New Roman" w:cs="Times New Roman"/>
          <w:i/>
          <w:iCs/>
        </w:rPr>
        <w:t xml:space="preserve">intimate </w:t>
      </w:r>
      <w:r w:rsidR="00191B1E" w:rsidRPr="004F2B59">
        <w:rPr>
          <w:rFonts w:ascii="Times New Roman" w:hAnsi="Times New Roman" w:cs="Times New Roman"/>
        </w:rPr>
        <w:t xml:space="preserve">relationship between the child and the accused, the court in its discretion can impose a lesser than minimum sentence </w:t>
      </w:r>
      <w:r w:rsidR="001D2B0E" w:rsidRPr="004F2B59">
        <w:rPr>
          <w:rFonts w:ascii="Times New Roman" w:hAnsi="Times New Roman" w:cs="Times New Roman"/>
        </w:rPr>
        <w:t>in cases of tacit approval of the victim, age proximity of less than years between the victim and the accused, good conduct, no past criminal history or lack of dominating influence of the accused.</w:t>
      </w:r>
      <w:r w:rsidR="001D2B0E" w:rsidRPr="004F2B59">
        <w:rPr>
          <w:rStyle w:val="FootnoteReference"/>
          <w:rFonts w:ascii="Times New Roman" w:hAnsi="Times New Roman" w:cs="Times New Roman"/>
        </w:rPr>
        <w:footnoteReference w:id="122"/>
      </w:r>
    </w:p>
    <w:p w:rsidR="002103F0" w:rsidRDefault="00191B1E" w:rsidP="006E25D0">
      <w:pPr>
        <w:spacing w:after="0" w:line="320" w:lineRule="exact"/>
        <w:ind w:firstLine="432"/>
        <w:jc w:val="both"/>
        <w:rPr>
          <w:rFonts w:ascii="Times New Roman" w:hAnsi="Times New Roman" w:cs="Times New Roman"/>
        </w:rPr>
      </w:pPr>
      <w:r w:rsidRPr="004F2B59">
        <w:rPr>
          <w:rFonts w:ascii="Times New Roman" w:hAnsi="Times New Roman" w:cs="Times New Roman"/>
          <w:lang w:val="en-US"/>
        </w:rPr>
        <w:t>It was also recommended that considerations such as marriage, acceptability of th</w:t>
      </w:r>
      <w:r w:rsidR="004F7A6B" w:rsidRPr="004F2B59">
        <w:rPr>
          <w:rFonts w:ascii="Times New Roman" w:hAnsi="Times New Roman" w:cs="Times New Roman"/>
          <w:lang w:val="en-US"/>
        </w:rPr>
        <w:t>e relationship by the families and birth of a child consequent to that relationship are also factors that may be investigated by the court before exercising discretion in such cases.</w:t>
      </w:r>
      <w:r w:rsidR="004F7A6B" w:rsidRPr="004F2B59">
        <w:rPr>
          <w:rStyle w:val="FootnoteReference"/>
          <w:rFonts w:ascii="Times New Roman" w:hAnsi="Times New Roman" w:cs="Times New Roman"/>
          <w:lang w:val="en-US"/>
        </w:rPr>
        <w:footnoteReference w:id="123"/>
      </w:r>
      <w:r w:rsidR="002655C6" w:rsidRPr="004F2B59">
        <w:rPr>
          <w:rFonts w:ascii="Times New Roman" w:hAnsi="Times New Roman" w:cs="Times New Roman"/>
          <w:lang w:val="en-US"/>
        </w:rPr>
        <w:t xml:space="preserve"> Thus , it can be seen ,the recommendations of the Law Commission, to remedy the prevailing problems are  in sync with current approach applied by Special Courts and High Courts across the country,</w:t>
      </w:r>
      <w:r w:rsidR="002655C6" w:rsidRPr="004F2B59">
        <w:rPr>
          <w:rFonts w:ascii="Times New Roman" w:hAnsi="Times New Roman" w:cs="Times New Roman"/>
        </w:rPr>
        <w:t xml:space="preserve"> while the condescending approach by the governing authorities is arbitrary in nature and strikes on the fundamental right to life &amp; personal liberty and the right to freedom of speech and expression guaranteed under Articles 21 and 19 of the Indian Constitution. This reeks of the double standards prevalent in the criminal justice system where adolescents can be treated as adults when committing heinous crimes </w:t>
      </w:r>
      <w:r w:rsidR="002655C6" w:rsidRPr="004F2B59">
        <w:rPr>
          <w:rStyle w:val="FootnoteReference"/>
          <w:rFonts w:ascii="Times New Roman" w:hAnsi="Times New Roman" w:cs="Times New Roman"/>
        </w:rPr>
        <w:footnoteReference w:id="124"/>
      </w:r>
      <w:r w:rsidR="002655C6" w:rsidRPr="004F2B59">
        <w:rPr>
          <w:rFonts w:ascii="Times New Roman" w:hAnsi="Times New Roman" w:cs="Times New Roman"/>
        </w:rPr>
        <w:t xml:space="preserve">but not when they express their sexual autonomy .It needs to be understand , that the POCSO Act was enacted to implement the mandate of the UNCRC of which India is </w:t>
      </w:r>
      <w:r w:rsidR="002655C6" w:rsidRPr="004F2B59">
        <w:rPr>
          <w:rFonts w:ascii="Times New Roman" w:hAnsi="Times New Roman" w:cs="Times New Roman"/>
        </w:rPr>
        <w:lastRenderedPageBreak/>
        <w:t>a signatory and therefore, not reducing the age of consent to 16 years is a violation of that mandate which envisages striking a balance between the evolving capacities of adolescents and the protection accorded to them.</w:t>
      </w:r>
      <w:r w:rsidR="002655C6" w:rsidRPr="004F2B59">
        <w:rPr>
          <w:rStyle w:val="FootnoteReference"/>
          <w:rFonts w:ascii="Times New Roman" w:hAnsi="Times New Roman" w:cs="Times New Roman"/>
        </w:rPr>
        <w:footnoteReference w:id="125"/>
      </w:r>
    </w:p>
    <w:p w:rsidR="002103F0" w:rsidRPr="004F2B59" w:rsidRDefault="002103F0" w:rsidP="004F2B59">
      <w:pPr>
        <w:spacing w:after="0" w:line="320" w:lineRule="exact"/>
        <w:ind w:firstLine="432"/>
        <w:jc w:val="both"/>
        <w:rPr>
          <w:rFonts w:ascii="Times New Roman" w:hAnsi="Times New Roman" w:cs="Times New Roman"/>
        </w:rPr>
      </w:pPr>
    </w:p>
    <w:p w:rsidR="00E35AB7" w:rsidRPr="004F2B59" w:rsidRDefault="00C552B5" w:rsidP="004F2B59">
      <w:pPr>
        <w:spacing w:after="0" w:line="320" w:lineRule="exact"/>
        <w:ind w:firstLine="432"/>
        <w:jc w:val="both"/>
        <w:rPr>
          <w:rFonts w:ascii="Times New Roman" w:hAnsi="Times New Roman" w:cs="Times New Roman"/>
          <w:b/>
          <w:bCs/>
          <w:lang w:val="en-US"/>
        </w:rPr>
      </w:pPr>
      <w:r w:rsidRPr="004F2B59">
        <w:rPr>
          <w:rFonts w:ascii="Times New Roman" w:hAnsi="Times New Roman" w:cs="Times New Roman"/>
          <w:b/>
          <w:bCs/>
          <w:lang w:val="en-US"/>
        </w:rPr>
        <w:t>Conclusion and</w:t>
      </w:r>
      <w:r w:rsidR="00A1751D" w:rsidRPr="004F2B59">
        <w:rPr>
          <w:rFonts w:ascii="Times New Roman" w:hAnsi="Times New Roman" w:cs="Times New Roman"/>
          <w:b/>
          <w:bCs/>
          <w:lang w:val="en-US"/>
        </w:rPr>
        <w:t xml:space="preserve"> Suggestions </w:t>
      </w:r>
    </w:p>
    <w:p w:rsidR="009710C3" w:rsidRPr="004F2B59" w:rsidRDefault="00945105"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The primary motive for the enactment of the POCSO</w:t>
      </w:r>
      <w:r w:rsidR="0002376D" w:rsidRPr="004F2B59">
        <w:rPr>
          <w:rFonts w:ascii="Times New Roman" w:hAnsi="Times New Roman" w:cs="Times New Roman"/>
          <w:lang w:val="en-US"/>
        </w:rPr>
        <w:t xml:space="preserve"> Act</w:t>
      </w:r>
      <w:r w:rsidRPr="004F2B59">
        <w:rPr>
          <w:rFonts w:ascii="Times New Roman" w:hAnsi="Times New Roman" w:cs="Times New Roman"/>
          <w:lang w:val="en-US"/>
        </w:rPr>
        <w:t xml:space="preserve"> was to curb sexual exploitation of children and not to punish consensual romantic relationships. </w:t>
      </w:r>
      <w:r w:rsidR="004E028A" w:rsidRPr="004F2B59">
        <w:rPr>
          <w:rFonts w:ascii="Times New Roman" w:hAnsi="Times New Roman" w:cs="Times New Roman"/>
          <w:lang w:val="en-US"/>
        </w:rPr>
        <w:t xml:space="preserve">Adolescence is the age where such children are most vulnerable to grooming and sexual exploitation. </w:t>
      </w:r>
      <w:r w:rsidRPr="004F2B59">
        <w:rPr>
          <w:rFonts w:ascii="Times New Roman" w:hAnsi="Times New Roman" w:cs="Times New Roman"/>
          <w:lang w:val="en-US"/>
        </w:rPr>
        <w:t xml:space="preserve">However, the </w:t>
      </w:r>
      <w:r w:rsidR="0002376D" w:rsidRPr="004F2B59">
        <w:rPr>
          <w:rFonts w:ascii="Times New Roman" w:hAnsi="Times New Roman" w:cs="Times New Roman"/>
          <w:lang w:val="en-US"/>
        </w:rPr>
        <w:t>blanket provisions</w:t>
      </w:r>
      <w:r w:rsidR="004E028A" w:rsidRPr="004F2B59">
        <w:rPr>
          <w:rFonts w:ascii="Times New Roman" w:hAnsi="Times New Roman" w:cs="Times New Roman"/>
          <w:lang w:val="en-US"/>
        </w:rPr>
        <w:t xml:space="preserve"> of the Act</w:t>
      </w:r>
      <w:r w:rsidR="0002376D" w:rsidRPr="004F2B59">
        <w:rPr>
          <w:rFonts w:ascii="Times New Roman" w:hAnsi="Times New Roman" w:cs="Times New Roman"/>
          <w:lang w:val="en-US"/>
        </w:rPr>
        <w:t xml:space="preserve"> criminalizing any activity </w:t>
      </w:r>
      <w:r w:rsidR="009C51B4" w:rsidRPr="004F2B59">
        <w:rPr>
          <w:rFonts w:ascii="Times New Roman" w:hAnsi="Times New Roman" w:cs="Times New Roman"/>
          <w:lang w:val="en-US"/>
        </w:rPr>
        <w:t>between two consenting children is in direct conflict with the natural tendencies of children to explore and act upon their sexual urges post puberty.</w:t>
      </w:r>
      <w:r w:rsidR="0041165A" w:rsidRPr="004F2B59">
        <w:rPr>
          <w:rFonts w:ascii="Times New Roman" w:hAnsi="Times New Roman" w:cs="Times New Roman"/>
          <w:lang w:val="en-US"/>
        </w:rPr>
        <w:t xml:space="preserve"> Provisions such as these lead to stigmatization of children involved in consensual adolescent relationships and subject them to moralistic sermons from society.</w:t>
      </w:r>
      <w:r w:rsidR="00280DC5" w:rsidRPr="004F2B59">
        <w:rPr>
          <w:rFonts w:ascii="Times New Roman" w:hAnsi="Times New Roman" w:cs="Times New Roman"/>
          <w:lang w:val="en-US"/>
        </w:rPr>
        <w:t xml:space="preserve"> Criminalizing all sexual activity between adolescents undermines their capacity to learn and distinguish as to what is positive, respectful and mutually desired from what is negative, abusive and risky. It leads to an association of shame and secrecy with sex</w:t>
      </w:r>
      <w:r w:rsidR="006A4B96" w:rsidRPr="004F2B59">
        <w:rPr>
          <w:rFonts w:ascii="Times New Roman" w:hAnsi="Times New Roman" w:cs="Times New Roman"/>
          <w:lang w:val="en-US"/>
        </w:rPr>
        <w:t>and</w:t>
      </w:r>
      <w:r w:rsidR="0041165A" w:rsidRPr="004F2B59">
        <w:rPr>
          <w:rFonts w:ascii="Times New Roman" w:hAnsi="Times New Roman" w:cs="Times New Roman"/>
          <w:lang w:val="en-US"/>
        </w:rPr>
        <w:t xml:space="preserve"> affects their mental and physical well-being by inhibiting them from visiting health service providers for any information on sexual or reproductive health. Thus, the POCSO Act in its current form doesn’t respect the mandate of UNCRC as it doesn’t consider the evolving capabilities and sexual autonomy of children and adolescents. </w:t>
      </w:r>
      <w:r w:rsidR="00CB1980" w:rsidRPr="004F2B59">
        <w:rPr>
          <w:rFonts w:ascii="Times New Roman" w:hAnsi="Times New Roman" w:cs="Times New Roman"/>
          <w:lang w:val="en-US"/>
        </w:rPr>
        <w:t>Thus</w:t>
      </w:r>
      <w:r w:rsidR="00E20890" w:rsidRPr="004F2B59">
        <w:rPr>
          <w:rFonts w:ascii="Times New Roman" w:hAnsi="Times New Roman" w:cs="Times New Roman"/>
          <w:lang w:val="en-US"/>
        </w:rPr>
        <w:t>,it becomes</w:t>
      </w:r>
      <w:r w:rsidR="00C131E4" w:rsidRPr="004F2B59">
        <w:rPr>
          <w:rFonts w:ascii="Times New Roman" w:hAnsi="Times New Roman" w:cs="Times New Roman"/>
          <w:lang w:val="en-US"/>
        </w:rPr>
        <w:t>imperative that remedial steps are taken by the legislature to not just serve the best interests of children but also to fulfill the mandate of UNCRC.</w:t>
      </w:r>
      <w:r w:rsidR="00172F22" w:rsidRPr="004F2B59">
        <w:rPr>
          <w:rFonts w:ascii="Times New Roman" w:hAnsi="Times New Roman" w:cs="Times New Roman"/>
          <w:lang w:val="en-US"/>
        </w:rPr>
        <w:t>Considering</w:t>
      </w:r>
      <w:r w:rsidR="001867F6" w:rsidRPr="004F2B59">
        <w:rPr>
          <w:rFonts w:ascii="Times New Roman" w:hAnsi="Times New Roman" w:cs="Times New Roman"/>
          <w:lang w:val="en-US"/>
        </w:rPr>
        <w:t xml:space="preserve"> the arguments and evidence adduced above, the authors would like to present the following amendments to the POCSO Act, 2012-</w:t>
      </w:r>
    </w:p>
    <w:p w:rsidR="001867F6" w:rsidRPr="004F2B59" w:rsidRDefault="001867F6" w:rsidP="004F2B59">
      <w:pPr>
        <w:pStyle w:val="ListParagraph"/>
        <w:numPr>
          <w:ilvl w:val="0"/>
          <w:numId w:val="6"/>
        </w:numPr>
        <w:spacing w:after="0" w:line="320" w:lineRule="exact"/>
        <w:ind w:left="0" w:firstLine="432"/>
        <w:contextualSpacing w:val="0"/>
        <w:jc w:val="both"/>
        <w:rPr>
          <w:rFonts w:ascii="Times New Roman" w:hAnsi="Times New Roman" w:cs="Times New Roman"/>
          <w:lang w:val="en-US"/>
        </w:rPr>
      </w:pPr>
      <w:r w:rsidRPr="004F2B59">
        <w:rPr>
          <w:rFonts w:ascii="Times New Roman" w:hAnsi="Times New Roman" w:cs="Times New Roman"/>
          <w:lang w:val="en-US"/>
        </w:rPr>
        <w:lastRenderedPageBreak/>
        <w:t>Amendment in section 2(d) of the Act which reduces the age of a child from eighteen to sixteen years</w:t>
      </w:r>
      <w:r w:rsidR="00D864A5" w:rsidRPr="004F2B59">
        <w:rPr>
          <w:rFonts w:ascii="Times New Roman" w:hAnsi="Times New Roman" w:cs="Times New Roman"/>
          <w:lang w:val="en-US"/>
        </w:rPr>
        <w:t xml:space="preserve"> which decriminalizes all sexual activity between the ages of 16 years to 18 years. </w:t>
      </w:r>
    </w:p>
    <w:p w:rsidR="001867F6" w:rsidRPr="004F2B59" w:rsidRDefault="001867F6" w:rsidP="004F2B59">
      <w:pPr>
        <w:pStyle w:val="ListParagraph"/>
        <w:numPr>
          <w:ilvl w:val="0"/>
          <w:numId w:val="6"/>
        </w:numPr>
        <w:spacing w:after="0" w:line="320" w:lineRule="exact"/>
        <w:ind w:left="0" w:firstLine="432"/>
        <w:contextualSpacing w:val="0"/>
        <w:jc w:val="both"/>
        <w:rPr>
          <w:rFonts w:ascii="Times New Roman" w:hAnsi="Times New Roman" w:cs="Times New Roman"/>
          <w:lang w:val="en-US"/>
        </w:rPr>
      </w:pPr>
      <w:r w:rsidRPr="004F2B59">
        <w:rPr>
          <w:rFonts w:ascii="Times New Roman" w:hAnsi="Times New Roman" w:cs="Times New Roman"/>
          <w:lang w:val="en-US"/>
        </w:rPr>
        <w:t>Introduc</w:t>
      </w:r>
      <w:r w:rsidR="00D864A5" w:rsidRPr="004F2B59">
        <w:rPr>
          <w:rFonts w:ascii="Times New Roman" w:hAnsi="Times New Roman" w:cs="Times New Roman"/>
          <w:lang w:val="en-US"/>
        </w:rPr>
        <w:t>tion of</w:t>
      </w:r>
      <w:r w:rsidRPr="004F2B59">
        <w:rPr>
          <w:rFonts w:ascii="Times New Roman" w:hAnsi="Times New Roman" w:cs="Times New Roman"/>
          <w:lang w:val="en-US"/>
        </w:rPr>
        <w:t xml:space="preserve"> a new provision under section 2 which defines the term </w:t>
      </w:r>
      <w:r w:rsidRPr="004F2B59">
        <w:rPr>
          <w:rFonts w:ascii="Times New Roman" w:hAnsi="Times New Roman" w:cs="Times New Roman"/>
          <w:i/>
          <w:iCs/>
          <w:lang w:val="en-US"/>
        </w:rPr>
        <w:t>“consent.”</w:t>
      </w:r>
    </w:p>
    <w:p w:rsidR="00D864A5" w:rsidRPr="004F2B59" w:rsidRDefault="00296434" w:rsidP="004F2B59">
      <w:pPr>
        <w:pStyle w:val="ListParagraph"/>
        <w:numPr>
          <w:ilvl w:val="0"/>
          <w:numId w:val="6"/>
        </w:numPr>
        <w:spacing w:after="0" w:line="320" w:lineRule="exact"/>
        <w:ind w:left="0" w:firstLine="432"/>
        <w:contextualSpacing w:val="0"/>
        <w:jc w:val="both"/>
        <w:rPr>
          <w:rFonts w:ascii="Times New Roman" w:hAnsi="Times New Roman" w:cs="Times New Roman"/>
          <w:lang w:val="en-US"/>
        </w:rPr>
      </w:pPr>
      <w:r w:rsidRPr="004F2B59">
        <w:rPr>
          <w:rFonts w:ascii="Times New Roman" w:hAnsi="Times New Roman" w:cs="Times New Roman"/>
          <w:lang w:val="en-US"/>
        </w:rPr>
        <w:t>Introduc</w:t>
      </w:r>
      <w:r w:rsidR="00D864A5" w:rsidRPr="004F2B59">
        <w:rPr>
          <w:rFonts w:ascii="Times New Roman" w:hAnsi="Times New Roman" w:cs="Times New Roman"/>
          <w:lang w:val="en-US"/>
        </w:rPr>
        <w:t xml:space="preserve">tion of </w:t>
      </w:r>
      <w:r w:rsidRPr="004F2B59">
        <w:rPr>
          <w:rFonts w:ascii="Times New Roman" w:hAnsi="Times New Roman" w:cs="Times New Roman"/>
          <w:lang w:val="en-US"/>
        </w:rPr>
        <w:t>a close-in-age exception</w:t>
      </w:r>
      <w:r w:rsidR="00D864A5" w:rsidRPr="004F2B59">
        <w:rPr>
          <w:rFonts w:ascii="Times New Roman" w:hAnsi="Times New Roman" w:cs="Times New Roman"/>
          <w:lang w:val="en-US"/>
        </w:rPr>
        <w:t xml:space="preserve"> or an age proximity clause from the ages of 14 and 15 which de-criminalizes consensual sexual activities between partners who have not more than 2 year (if the younger partner is 14 years of age) or 3 years (if the younger partner is 15 years of age) of age difference between them. </w:t>
      </w:r>
    </w:p>
    <w:p w:rsidR="0024423D" w:rsidRPr="004F2B59" w:rsidRDefault="00D864A5" w:rsidP="004F2B59">
      <w:pPr>
        <w:pStyle w:val="ListParagraph"/>
        <w:numPr>
          <w:ilvl w:val="0"/>
          <w:numId w:val="6"/>
        </w:numPr>
        <w:spacing w:after="0" w:line="320" w:lineRule="exact"/>
        <w:ind w:left="0" w:firstLine="432"/>
        <w:contextualSpacing w:val="0"/>
        <w:jc w:val="both"/>
        <w:rPr>
          <w:rFonts w:ascii="Times New Roman" w:hAnsi="Times New Roman" w:cs="Times New Roman"/>
          <w:lang w:val="en-US"/>
        </w:rPr>
      </w:pPr>
      <w:r w:rsidRPr="004F2B59">
        <w:rPr>
          <w:rFonts w:ascii="Times New Roman" w:hAnsi="Times New Roman" w:cs="Times New Roman"/>
          <w:lang w:val="en-US"/>
        </w:rPr>
        <w:t>Introduction of a provision within the act which mandates the Special Court to take the help of psychologists and psycho-social workers in determining whether the child giving consent to consensual sexual activity</w:t>
      </w:r>
      <w:r w:rsidR="0024423D" w:rsidRPr="004F2B59">
        <w:rPr>
          <w:rFonts w:ascii="Times New Roman" w:hAnsi="Times New Roman" w:cs="Times New Roman"/>
          <w:lang w:val="en-US"/>
        </w:rPr>
        <w:t xml:space="preserve"> was mentally, physically, emotionally and sexually mature enough to do that or not.</w:t>
      </w:r>
    </w:p>
    <w:p w:rsidR="00B74247" w:rsidRPr="004F2B59" w:rsidRDefault="001C003B"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Introduction of a close-in-age exception will help in erasing the notion that all consensual adolescent sexual activity is not sexual assault or rape and offer individuals protection from criminalization. However, it is also imperative to understand that such an exception is not in line with the realities of Indian society, where subjects such as sex and sexuality are viewed with paternalistic lens. Further, the possibility of coercion, duress and undue influence cannot be discounted in relationships which will be covered under close-in-age exception.</w:t>
      </w:r>
      <w:r w:rsidR="00B74247" w:rsidRPr="004F2B59">
        <w:rPr>
          <w:rFonts w:ascii="Times New Roman" w:hAnsi="Times New Roman" w:cs="Times New Roman"/>
          <w:lang w:val="en-US"/>
        </w:rPr>
        <w:t xml:space="preserve"> Thus, it is important that the Special courts lay primacy on the testimony of the victim. </w:t>
      </w:r>
    </w:p>
    <w:p w:rsidR="00366F4B" w:rsidRPr="004F2B59" w:rsidRDefault="008B4027" w:rsidP="004F2B59">
      <w:pPr>
        <w:spacing w:after="0" w:line="320" w:lineRule="exact"/>
        <w:ind w:firstLine="432"/>
        <w:jc w:val="both"/>
        <w:rPr>
          <w:rFonts w:ascii="Times New Roman" w:hAnsi="Times New Roman" w:cs="Times New Roman"/>
          <w:b/>
          <w:bCs/>
          <w:lang w:val="en-US"/>
        </w:rPr>
      </w:pPr>
      <w:r w:rsidRPr="004F2B59">
        <w:rPr>
          <w:rFonts w:ascii="Times New Roman" w:hAnsi="Times New Roman" w:cs="Times New Roman"/>
          <w:lang w:val="en-US"/>
        </w:rPr>
        <w:t>While close-in-age exception is not the panacea to all the problem, yet i</w:t>
      </w:r>
      <w:r w:rsidR="00430443" w:rsidRPr="004F2B59">
        <w:rPr>
          <w:rFonts w:ascii="Times New Roman" w:hAnsi="Times New Roman" w:cs="Times New Roman"/>
          <w:lang w:val="en-US"/>
        </w:rPr>
        <w:t xml:space="preserve">t respects the evolving capacities of children and adolescents and recognizes them as sexual beings who are </w:t>
      </w:r>
      <w:r w:rsidR="00BD5D93" w:rsidRPr="004F2B59">
        <w:rPr>
          <w:rFonts w:ascii="Times New Roman" w:hAnsi="Times New Roman" w:cs="Times New Roman"/>
          <w:lang w:val="en-US"/>
        </w:rPr>
        <w:t>mature</w:t>
      </w:r>
      <w:r w:rsidR="00430443" w:rsidRPr="004F2B59">
        <w:rPr>
          <w:rFonts w:ascii="Times New Roman" w:hAnsi="Times New Roman" w:cs="Times New Roman"/>
          <w:lang w:val="en-US"/>
        </w:rPr>
        <w:t xml:space="preserve"> enough to form</w:t>
      </w:r>
      <w:r w:rsidR="00BD5D93" w:rsidRPr="004F2B59">
        <w:rPr>
          <w:rFonts w:ascii="Times New Roman" w:hAnsi="Times New Roman" w:cs="Times New Roman"/>
          <w:lang w:val="en-US"/>
        </w:rPr>
        <w:t xml:space="preserve"> their opinion on such matters. It is of utmost importance that children be protected from sexual abuse and exploitation but prohibiting all sexual contact is not a practical solution to the problem at hand. </w:t>
      </w:r>
      <w:r w:rsidR="00B74247" w:rsidRPr="004F2B59">
        <w:rPr>
          <w:rFonts w:ascii="Times New Roman" w:hAnsi="Times New Roman" w:cs="Times New Roman"/>
          <w:lang w:val="en-US"/>
        </w:rPr>
        <w:t xml:space="preserve">However, legislation and strict penal provisions are mere short-term fixes and can only do as much. It must be accompanied by measures such as comprehensive sexual education, gender sensitization and access to </w:t>
      </w:r>
      <w:r w:rsidR="00B74247" w:rsidRPr="004F2B59">
        <w:rPr>
          <w:rFonts w:ascii="Times New Roman" w:hAnsi="Times New Roman" w:cs="Times New Roman"/>
          <w:lang w:val="en-US"/>
        </w:rPr>
        <w:lastRenderedPageBreak/>
        <w:t xml:space="preserve">sexual and reproductive health services along with support from families of young adolescents. </w:t>
      </w:r>
      <w:r w:rsidR="00BD5D93" w:rsidRPr="004F2B59">
        <w:rPr>
          <w:rFonts w:ascii="Times New Roman" w:hAnsi="Times New Roman" w:cs="Times New Roman"/>
          <w:lang w:val="en-US"/>
        </w:rPr>
        <w:t>The government and society must understand that sexual activities amongst teenagers does occur and will continue to do so, and it is time that they stop brushing it under the carpet. Doing so will not only enhance the stigma and the sense of shame within children but also lead them to adopt unhealthy sexual practices. What is needed is that adolescents be given proper guidance, counselling and proper sexual education to adopt safer practices and make informed decisions. The need of the hour is to accept that children are also sexual beings and help them make educated choices for their own physical and mental benefit.</w:t>
      </w:r>
    </w:p>
    <w:p w:rsidR="00501CF8" w:rsidRPr="004F2B59" w:rsidRDefault="00501CF8" w:rsidP="004F2B59">
      <w:pPr>
        <w:spacing w:after="0" w:line="320" w:lineRule="exact"/>
        <w:ind w:firstLine="432"/>
        <w:jc w:val="both"/>
        <w:rPr>
          <w:rFonts w:ascii="Times New Roman" w:hAnsi="Times New Roman" w:cs="Times New Roman"/>
          <w:b/>
          <w:bCs/>
          <w:lang w:val="en-US"/>
        </w:rPr>
      </w:pPr>
    </w:p>
    <w:p w:rsidR="00237131" w:rsidRPr="004F2B59" w:rsidRDefault="00E43A3E" w:rsidP="004F2B59">
      <w:pPr>
        <w:spacing w:after="0" w:line="320" w:lineRule="exact"/>
        <w:ind w:firstLine="432"/>
        <w:jc w:val="both"/>
        <w:rPr>
          <w:rFonts w:ascii="Times New Roman" w:hAnsi="Times New Roman" w:cs="Times New Roman"/>
          <w:lang w:val="en-US"/>
        </w:rPr>
      </w:pPr>
      <w:r w:rsidRPr="004F2B59">
        <w:rPr>
          <w:rFonts w:ascii="Times New Roman" w:hAnsi="Times New Roman" w:cs="Times New Roman"/>
          <w:lang w:val="en-US"/>
        </w:rPr>
        <w:tab/>
      </w:r>
    </w:p>
    <w:p w:rsidR="0007704E" w:rsidRPr="004F2B59" w:rsidRDefault="0007704E" w:rsidP="004F2B59">
      <w:pPr>
        <w:spacing w:after="0" w:line="320" w:lineRule="exact"/>
        <w:ind w:firstLine="432"/>
        <w:jc w:val="both"/>
        <w:rPr>
          <w:rFonts w:ascii="Times New Roman" w:hAnsi="Times New Roman" w:cs="Times New Roman"/>
          <w:lang w:val="en-US"/>
        </w:rPr>
      </w:pPr>
    </w:p>
    <w:sectPr w:rsidR="0007704E" w:rsidRPr="004F2B59" w:rsidSect="005A1767">
      <w:headerReference w:type="even" r:id="rId8"/>
      <w:headerReference w:type="default" r:id="rId9"/>
      <w:footerReference w:type="even" r:id="rId10"/>
      <w:footerReference w:type="default" r:id="rId11"/>
      <w:pgSz w:w="9187" w:h="12989" w:code="28"/>
      <w:pgMar w:top="720" w:right="1296" w:bottom="1008" w:left="1440" w:header="576" w:footer="432" w:gutter="0"/>
      <w:pgNumType w:start="3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EBA" w:rsidRDefault="007C3EBA" w:rsidP="005F304E">
      <w:pPr>
        <w:spacing w:after="0" w:line="240" w:lineRule="auto"/>
      </w:pPr>
      <w:r>
        <w:separator/>
      </w:r>
    </w:p>
  </w:endnote>
  <w:endnote w:type="continuationSeparator" w:id="1">
    <w:p w:rsidR="007C3EBA" w:rsidRDefault="007C3EBA" w:rsidP="005F3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966"/>
      <w:docPartObj>
        <w:docPartGallery w:val="Page Numbers (Bottom of Page)"/>
        <w:docPartUnique/>
      </w:docPartObj>
    </w:sdtPr>
    <w:sdtContent>
      <w:p w:rsidR="005A1767" w:rsidRDefault="005A1767">
        <w:pPr>
          <w:pStyle w:val="Footer"/>
          <w:jc w:val="center"/>
        </w:pPr>
        <w:fldSimple w:instr=" PAGE   \* MERGEFORMAT ">
          <w:r w:rsidR="006E25D0">
            <w:rPr>
              <w:noProof/>
            </w:rPr>
            <w:t>368</w:t>
          </w:r>
        </w:fldSimple>
      </w:p>
    </w:sdtContent>
  </w:sdt>
  <w:p w:rsidR="005A1767" w:rsidRDefault="005A1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64301"/>
      <w:docPartObj>
        <w:docPartGallery w:val="Page Numbers (Bottom of Page)"/>
        <w:docPartUnique/>
      </w:docPartObj>
    </w:sdtPr>
    <w:sdtEndPr>
      <w:rPr>
        <w:rFonts w:ascii="Times New Roman" w:hAnsi="Times New Roman" w:cs="Times New Roman"/>
        <w:noProof/>
        <w:sz w:val="24"/>
        <w:szCs w:val="24"/>
      </w:rPr>
    </w:sdtEndPr>
    <w:sdtContent>
      <w:p w:rsidR="006A6690" w:rsidRPr="006A6690" w:rsidRDefault="005C5FB7">
        <w:pPr>
          <w:pStyle w:val="Footer"/>
          <w:jc w:val="center"/>
          <w:rPr>
            <w:rFonts w:ascii="Times New Roman" w:hAnsi="Times New Roman" w:cs="Times New Roman"/>
            <w:sz w:val="24"/>
            <w:szCs w:val="24"/>
          </w:rPr>
        </w:pPr>
        <w:r w:rsidRPr="006A6690">
          <w:rPr>
            <w:rFonts w:ascii="Times New Roman" w:hAnsi="Times New Roman" w:cs="Times New Roman"/>
            <w:sz w:val="24"/>
            <w:szCs w:val="24"/>
          </w:rPr>
          <w:fldChar w:fldCharType="begin"/>
        </w:r>
        <w:r w:rsidR="006A6690" w:rsidRPr="006A6690">
          <w:rPr>
            <w:rFonts w:ascii="Times New Roman" w:hAnsi="Times New Roman" w:cs="Times New Roman"/>
            <w:sz w:val="24"/>
            <w:szCs w:val="24"/>
          </w:rPr>
          <w:instrText xml:space="preserve"> PAGE   \* MERGEFORMAT </w:instrText>
        </w:r>
        <w:r w:rsidRPr="006A6690">
          <w:rPr>
            <w:rFonts w:ascii="Times New Roman" w:hAnsi="Times New Roman" w:cs="Times New Roman"/>
            <w:sz w:val="24"/>
            <w:szCs w:val="24"/>
          </w:rPr>
          <w:fldChar w:fldCharType="separate"/>
        </w:r>
        <w:r w:rsidR="006E25D0">
          <w:rPr>
            <w:rFonts w:ascii="Times New Roman" w:hAnsi="Times New Roman" w:cs="Times New Roman"/>
            <w:noProof/>
            <w:sz w:val="24"/>
            <w:szCs w:val="24"/>
          </w:rPr>
          <w:t>367</w:t>
        </w:r>
        <w:r w:rsidRPr="006A6690">
          <w:rPr>
            <w:rFonts w:ascii="Times New Roman" w:hAnsi="Times New Roman" w:cs="Times New Roman"/>
            <w:noProof/>
            <w:sz w:val="24"/>
            <w:szCs w:val="24"/>
          </w:rPr>
          <w:fldChar w:fldCharType="end"/>
        </w:r>
      </w:p>
    </w:sdtContent>
  </w:sdt>
  <w:p w:rsidR="006A6690" w:rsidRPr="006A6690" w:rsidRDefault="006A6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EBA" w:rsidRDefault="007C3EBA" w:rsidP="005F304E">
      <w:pPr>
        <w:spacing w:after="0" w:line="240" w:lineRule="auto"/>
      </w:pPr>
      <w:r>
        <w:separator/>
      </w:r>
    </w:p>
  </w:footnote>
  <w:footnote w:type="continuationSeparator" w:id="1">
    <w:p w:rsidR="007C3EBA" w:rsidRDefault="007C3EBA" w:rsidP="005F304E">
      <w:pPr>
        <w:spacing w:after="0" w:line="240" w:lineRule="auto"/>
      </w:pPr>
      <w:r>
        <w:continuationSeparator/>
      </w:r>
    </w:p>
  </w:footnote>
  <w:footnote w:id="2">
    <w:p w:rsidR="004F2B59" w:rsidRPr="004F2B59" w:rsidRDefault="004F2B59" w:rsidP="002103F0">
      <w:pPr>
        <w:pStyle w:val="FootnoteText"/>
        <w:spacing w:line="220" w:lineRule="exact"/>
        <w:ind w:left="432" w:hanging="432"/>
        <w:jc w:val="both"/>
        <w:rPr>
          <w:rFonts w:ascii="Times New Roman" w:hAnsi="Times New Roman" w:cs="Times New Roman"/>
        </w:rPr>
      </w:pPr>
      <w:r w:rsidRPr="004F2B59">
        <w:rPr>
          <w:rStyle w:val="FootnoteReference"/>
          <w:vertAlign w:val="baseline"/>
        </w:rPr>
        <w:sym w:font="Symbol" w:char="F02A"/>
      </w:r>
      <w:r w:rsidRPr="004F2B5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4F2B59">
        <w:rPr>
          <w:rFonts w:ascii="Times New Roman" w:hAnsi="Times New Roman" w:cs="Times New Roman"/>
        </w:rPr>
        <w:t>Assistant Professor, Amity Law School, Noida</w:t>
      </w:r>
    </w:p>
  </w:footnote>
  <w:footnote w:id="3">
    <w:p w:rsidR="004F2B59" w:rsidRPr="004F2B59" w:rsidRDefault="004F2B59" w:rsidP="002103F0">
      <w:pPr>
        <w:pStyle w:val="FootnoteText"/>
        <w:spacing w:line="220" w:lineRule="exact"/>
        <w:ind w:left="432" w:hanging="432"/>
        <w:jc w:val="both"/>
        <w:rPr>
          <w:rFonts w:ascii="Times New Roman" w:hAnsi="Times New Roman" w:cs="Times New Roman"/>
        </w:rPr>
      </w:pPr>
      <w:r w:rsidRPr="004F2B59">
        <w:rPr>
          <w:rStyle w:val="FootnoteReference"/>
          <w:vertAlign w:val="baseline"/>
        </w:rPr>
        <w:sym w:font="Symbol" w:char="F02A"/>
      </w:r>
      <w:r w:rsidRPr="004F2B59">
        <w:rPr>
          <w:rStyle w:val="FootnoteReference"/>
          <w:vertAlign w:val="baseline"/>
        </w:rPr>
        <w:sym w:font="Symbol" w:char="F02A"/>
      </w:r>
      <w:r w:rsidRPr="004F2B5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4F2B59">
        <w:rPr>
          <w:rFonts w:ascii="Times New Roman" w:hAnsi="Times New Roman" w:cs="Times New Roman"/>
        </w:rPr>
        <w:t>Assistant Professor (Selection Grade), Faculty of Law, University of Delhi</w:t>
      </w:r>
    </w:p>
  </w:footnote>
  <w:footnote w:id="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B11B65">
        <w:rPr>
          <w:rFonts w:ascii="Times New Roman" w:hAnsi="Times New Roman" w:cs="Times New Roman"/>
        </w:rPr>
        <w:t xml:space="preserve"> </w:t>
      </w:r>
      <w:r w:rsidR="00B11B65">
        <w:rPr>
          <w:rFonts w:ascii="Times New Roman" w:hAnsi="Times New Roman" w:cs="Times New Roman"/>
        </w:rPr>
        <w:tab/>
      </w:r>
      <w:r w:rsidRPr="004F2B59">
        <w:rPr>
          <w:rFonts w:ascii="Times New Roman" w:hAnsi="Times New Roman" w:cs="Times New Roman"/>
        </w:rPr>
        <w:t>The Indian Penal Code, 1860 has recently been repealed and replaced by a new legislation called the Bharatiya Nyaya Sanhita, 2023 (BNS) which came into effect from 1st July, 2024.</w:t>
      </w:r>
    </w:p>
  </w:footnote>
  <w:footnote w:id="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B11B65">
        <w:rPr>
          <w:rFonts w:ascii="Times New Roman" w:hAnsi="Times New Roman" w:cs="Times New Roman"/>
        </w:rPr>
        <w:t xml:space="preserve"> </w:t>
      </w:r>
      <w:r w:rsidR="00B11B65">
        <w:rPr>
          <w:rFonts w:ascii="Times New Roman" w:hAnsi="Times New Roman" w:cs="Times New Roman"/>
        </w:rPr>
        <w:tab/>
      </w:r>
      <w:r w:rsidRPr="004F2B59">
        <w:rPr>
          <w:rFonts w:ascii="Times New Roman" w:hAnsi="Times New Roman" w:cs="Times New Roman"/>
        </w:rPr>
        <w:t>Criminal Law (Amendment) Act, 2013</w:t>
      </w:r>
      <w:r w:rsidR="00F77186" w:rsidRPr="004F2B59">
        <w:rPr>
          <w:rFonts w:ascii="Times New Roman" w:hAnsi="Times New Roman" w:cs="Times New Roman"/>
        </w:rPr>
        <w:t xml:space="preserve"> (Act 13 of 2013)</w:t>
      </w:r>
      <w:r w:rsidR="005D72B3" w:rsidRPr="004F2B59">
        <w:rPr>
          <w:rFonts w:ascii="Times New Roman" w:hAnsi="Times New Roman" w:cs="Times New Roman"/>
        </w:rPr>
        <w:t>.</w:t>
      </w:r>
    </w:p>
  </w:footnote>
  <w:footnote w:id="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5A1767">
        <w:rPr>
          <w:rFonts w:ascii="Times New Roman" w:hAnsi="Times New Roman" w:cs="Times New Roman"/>
        </w:rPr>
        <w:tab/>
      </w:r>
      <w:r w:rsidRPr="004F2B59">
        <w:rPr>
          <w:rFonts w:ascii="Times New Roman" w:hAnsi="Times New Roman" w:cs="Times New Roman"/>
        </w:rPr>
        <w:t>Prevention of Children Against Sexual Offences Act, 2012</w:t>
      </w:r>
      <w:r w:rsidR="00F77186" w:rsidRPr="004F2B59">
        <w:rPr>
          <w:rFonts w:ascii="Times New Roman" w:hAnsi="Times New Roman" w:cs="Times New Roman"/>
        </w:rPr>
        <w:t xml:space="preserve"> (Act 32 of 2012)s</w:t>
      </w:r>
      <w:r w:rsidR="009D6135" w:rsidRPr="004F2B59">
        <w:rPr>
          <w:rFonts w:ascii="Times New Roman" w:hAnsi="Times New Roman" w:cs="Times New Roman"/>
        </w:rPr>
        <w:t>.</w:t>
      </w:r>
      <w:r w:rsidRPr="004F2B59">
        <w:rPr>
          <w:rFonts w:ascii="Times New Roman" w:hAnsi="Times New Roman" w:cs="Times New Roman"/>
        </w:rPr>
        <w:t>19</w:t>
      </w:r>
      <w:r w:rsidR="00627282" w:rsidRPr="004F2B59">
        <w:rPr>
          <w:rFonts w:ascii="Times New Roman" w:hAnsi="Times New Roman" w:cs="Times New Roman"/>
        </w:rPr>
        <w:t>.</w:t>
      </w:r>
    </w:p>
  </w:footnote>
  <w:footnote w:id="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5A1767">
        <w:rPr>
          <w:rFonts w:ascii="Times New Roman" w:hAnsi="Times New Roman" w:cs="Times New Roman"/>
        </w:rPr>
        <w:t xml:space="preserve"> </w:t>
      </w:r>
      <w:r w:rsidR="005A1767">
        <w:rPr>
          <w:rFonts w:ascii="Times New Roman" w:hAnsi="Times New Roman" w:cs="Times New Roman"/>
        </w:rPr>
        <w:tab/>
      </w:r>
      <w:r w:rsidRPr="004F2B59">
        <w:rPr>
          <w:rFonts w:ascii="Times New Roman" w:hAnsi="Times New Roman" w:cs="Times New Roman"/>
        </w:rPr>
        <w:t xml:space="preserve">An adolescent means a </w:t>
      </w:r>
      <w:bookmarkStart w:id="0" w:name="_GoBack"/>
      <w:bookmarkEnd w:id="0"/>
      <w:r w:rsidRPr="004F2B59">
        <w:rPr>
          <w:rFonts w:ascii="Times New Roman" w:hAnsi="Times New Roman" w:cs="Times New Roman"/>
        </w:rPr>
        <w:t>person in his or her teenage years. For this article, adolescent includes a person between 13-19 years of age.</w:t>
      </w:r>
    </w:p>
  </w:footnote>
  <w:footnote w:id="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6603E">
        <w:rPr>
          <w:rFonts w:ascii="Times New Roman" w:hAnsi="Times New Roman" w:cs="Times New Roman"/>
        </w:rPr>
        <w:t xml:space="preserve"> </w:t>
      </w:r>
      <w:r w:rsidR="0096603E">
        <w:rPr>
          <w:rFonts w:ascii="Times New Roman" w:hAnsi="Times New Roman" w:cs="Times New Roman"/>
        </w:rPr>
        <w:tab/>
      </w:r>
      <w:r w:rsidR="00BB5CED" w:rsidRPr="004F2B59">
        <w:rPr>
          <w:rFonts w:ascii="Times New Roman" w:hAnsi="Times New Roman" w:cs="Times New Roman"/>
        </w:rPr>
        <w:t>United Nations Convention for The Rights of The Child</w:t>
      </w:r>
      <w:r w:rsidRPr="004F2B59">
        <w:rPr>
          <w:rFonts w:ascii="Times New Roman" w:hAnsi="Times New Roman" w:cs="Times New Roman"/>
        </w:rPr>
        <w:t>,</w:t>
      </w:r>
      <w:r w:rsidR="006B7542" w:rsidRPr="004F2B59">
        <w:rPr>
          <w:rFonts w:ascii="Times New Roman" w:hAnsi="Times New Roman" w:cs="Times New Roman"/>
        </w:rPr>
        <w:t xml:space="preserve"> 1989,</w:t>
      </w:r>
      <w:r w:rsidR="00BB5CED" w:rsidRPr="004F2B59">
        <w:rPr>
          <w:rFonts w:ascii="Times New Roman" w:hAnsi="Times New Roman" w:cs="Times New Roman"/>
        </w:rPr>
        <w:t>art. 1.</w:t>
      </w:r>
    </w:p>
  </w:footnote>
  <w:footnote w:id="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6603E">
        <w:rPr>
          <w:rFonts w:ascii="Times New Roman" w:hAnsi="Times New Roman" w:cs="Times New Roman"/>
        </w:rPr>
        <w:t xml:space="preserve"> </w:t>
      </w:r>
      <w:r w:rsidR="0096603E">
        <w:rPr>
          <w:rFonts w:ascii="Times New Roman" w:hAnsi="Times New Roman" w:cs="Times New Roman"/>
        </w:rPr>
        <w:tab/>
      </w:r>
      <w:r w:rsidR="009D6135" w:rsidRPr="004F2B59">
        <w:rPr>
          <w:rFonts w:ascii="Times New Roman" w:hAnsi="Times New Roman" w:cs="Times New Roman"/>
        </w:rPr>
        <w:t>Matthew Waites</w:t>
      </w:r>
      <w:r w:rsidR="002860B7" w:rsidRPr="004F2B59">
        <w:rPr>
          <w:rFonts w:ascii="Times New Roman" w:hAnsi="Times New Roman" w:cs="Times New Roman"/>
        </w:rPr>
        <w:t xml:space="preserve">, </w:t>
      </w:r>
      <w:r w:rsidR="00BB5CED" w:rsidRPr="004F2B59">
        <w:rPr>
          <w:rFonts w:ascii="Times New Roman" w:hAnsi="Times New Roman" w:cs="Times New Roman"/>
          <w:i/>
          <w:iCs/>
        </w:rPr>
        <w:t>The Age of Consent: Young People, Sexuality And Citizenship</w:t>
      </w:r>
      <w:r w:rsidR="002860B7" w:rsidRPr="004F2B59">
        <w:rPr>
          <w:rFonts w:ascii="Times New Roman" w:hAnsi="Times New Roman" w:cs="Times New Roman"/>
        </w:rPr>
        <w:t xml:space="preserve"> 19(</w:t>
      </w:r>
      <w:r w:rsidR="00BB5CED" w:rsidRPr="004F2B59">
        <w:rPr>
          <w:rFonts w:ascii="Times New Roman" w:hAnsi="Times New Roman" w:cs="Times New Roman"/>
        </w:rPr>
        <w:t xml:space="preserve">Palgrave Macmillan, </w:t>
      </w:r>
      <w:r w:rsidRPr="004F2B59">
        <w:rPr>
          <w:rFonts w:ascii="Times New Roman" w:hAnsi="Times New Roman" w:cs="Times New Roman"/>
        </w:rPr>
        <w:t>2005).</w:t>
      </w:r>
    </w:p>
  </w:footnote>
  <w:footnote w:id="1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6603E">
        <w:rPr>
          <w:rFonts w:ascii="Times New Roman" w:hAnsi="Times New Roman" w:cs="Times New Roman"/>
          <w:i/>
          <w:iCs/>
        </w:rPr>
        <w:t xml:space="preserve"> </w:t>
      </w:r>
      <w:r w:rsidR="0096603E">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w:t>
      </w:r>
    </w:p>
  </w:footnote>
  <w:footnote w:id="1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32631">
        <w:rPr>
          <w:rFonts w:ascii="Times New Roman" w:hAnsi="Times New Roman" w:cs="Times New Roman"/>
          <w:i/>
          <w:iCs/>
        </w:rPr>
        <w:t xml:space="preserve"> </w:t>
      </w:r>
      <w:r w:rsidR="00732631">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w:t>
      </w:r>
    </w:p>
  </w:footnote>
  <w:footnote w:id="1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32631">
        <w:rPr>
          <w:rFonts w:ascii="Times New Roman" w:hAnsi="Times New Roman" w:cs="Times New Roman"/>
        </w:rPr>
        <w:t xml:space="preserve"> </w:t>
      </w:r>
      <w:r w:rsidR="00732631">
        <w:rPr>
          <w:rFonts w:ascii="Times New Roman" w:hAnsi="Times New Roman" w:cs="Times New Roman"/>
        </w:rPr>
        <w:tab/>
      </w:r>
      <w:r w:rsidR="007726D1" w:rsidRPr="004F2B59">
        <w:rPr>
          <w:rFonts w:ascii="Times New Roman" w:hAnsi="Times New Roman" w:cs="Times New Roman"/>
        </w:rPr>
        <w:t>Shraddha Chaudhary</w:t>
      </w:r>
      <w:r w:rsidR="00395460" w:rsidRPr="004F2B59">
        <w:rPr>
          <w:rFonts w:ascii="Times New Roman" w:hAnsi="Times New Roman" w:cs="Times New Roman"/>
        </w:rPr>
        <w:t xml:space="preserve">, </w:t>
      </w:r>
      <w:r w:rsidR="00BB5CED" w:rsidRPr="004F2B59">
        <w:rPr>
          <w:rFonts w:ascii="Times New Roman" w:hAnsi="Times New Roman" w:cs="Times New Roman"/>
        </w:rPr>
        <w:t>“</w:t>
      </w:r>
      <w:r w:rsidR="007726D1" w:rsidRPr="004F2B59">
        <w:rPr>
          <w:rFonts w:ascii="Times New Roman" w:hAnsi="Times New Roman" w:cs="Times New Roman"/>
        </w:rPr>
        <w:t xml:space="preserve">Love, Consent and POCSO: Implementation </w:t>
      </w:r>
      <w:r w:rsidR="00CF3864" w:rsidRPr="004F2B59">
        <w:rPr>
          <w:rFonts w:ascii="Times New Roman" w:hAnsi="Times New Roman" w:cs="Times New Roman"/>
        </w:rPr>
        <w:t>of</w:t>
      </w:r>
      <w:r w:rsidR="007726D1" w:rsidRPr="004F2B59">
        <w:rPr>
          <w:rFonts w:ascii="Times New Roman" w:hAnsi="Times New Roman" w:cs="Times New Roman"/>
        </w:rPr>
        <w:t xml:space="preserve"> The POCSO Act, 2012</w:t>
      </w:r>
      <w:r w:rsidR="00BB5CED" w:rsidRPr="004F2B59">
        <w:rPr>
          <w:rFonts w:ascii="Times New Roman" w:hAnsi="Times New Roman" w:cs="Times New Roman"/>
        </w:rPr>
        <w:t>”</w:t>
      </w:r>
      <w:r w:rsidR="007726D1" w:rsidRPr="004F2B59">
        <w:rPr>
          <w:rFonts w:ascii="Times New Roman" w:hAnsi="Times New Roman" w:cs="Times New Roman"/>
        </w:rPr>
        <w:t>in</w:t>
      </w:r>
      <w:r w:rsidR="00E00130" w:rsidRPr="004F2B59">
        <w:rPr>
          <w:rFonts w:ascii="Times New Roman" w:hAnsi="Times New Roman" w:cs="Times New Roman"/>
          <w:i/>
          <w:iCs/>
        </w:rPr>
        <w:t>Special Courts: Challenges And Issues, Centre For Child And The Law</w:t>
      </w:r>
      <w:r w:rsidR="00395460" w:rsidRPr="004F2B59">
        <w:rPr>
          <w:rFonts w:ascii="Times New Roman" w:hAnsi="Times New Roman" w:cs="Times New Roman"/>
        </w:rPr>
        <w:t xml:space="preserve"> 127(</w:t>
      </w:r>
      <w:r w:rsidRPr="004F2B59">
        <w:rPr>
          <w:rFonts w:ascii="Times New Roman" w:hAnsi="Times New Roman" w:cs="Times New Roman"/>
        </w:rPr>
        <w:t xml:space="preserve">National Law School of India University </w:t>
      </w:r>
      <w:r w:rsidR="00395460" w:rsidRPr="004F2B59">
        <w:rPr>
          <w:rFonts w:ascii="Times New Roman" w:hAnsi="Times New Roman" w:cs="Times New Roman"/>
        </w:rPr>
        <w:t>2018).</w:t>
      </w:r>
    </w:p>
  </w:footnote>
  <w:footnote w:id="1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732631">
        <w:rPr>
          <w:rFonts w:ascii="Times New Roman" w:hAnsi="Times New Roman" w:cs="Times New Roman"/>
        </w:rPr>
        <w:t xml:space="preserve"> </w:t>
      </w:r>
      <w:r w:rsidR="00732631">
        <w:rPr>
          <w:rFonts w:ascii="Times New Roman" w:hAnsi="Times New Roman" w:cs="Times New Roman"/>
        </w:rPr>
        <w:tab/>
      </w:r>
      <w:r w:rsidRPr="004F2B59">
        <w:rPr>
          <w:rFonts w:ascii="Times New Roman" w:hAnsi="Times New Roman" w:cs="Times New Roman"/>
        </w:rPr>
        <w:t xml:space="preserve">Stephen Robertson, </w:t>
      </w:r>
      <w:r w:rsidRPr="004F2B59">
        <w:rPr>
          <w:rFonts w:ascii="Times New Roman" w:hAnsi="Times New Roman" w:cs="Times New Roman"/>
          <w:i/>
          <w:iCs/>
        </w:rPr>
        <w:t xml:space="preserve">Age of Consent Laws, </w:t>
      </w:r>
      <w:r w:rsidR="005F2574" w:rsidRPr="004F2B59">
        <w:rPr>
          <w:rFonts w:ascii="Times New Roman" w:hAnsi="Times New Roman" w:cs="Times New Roman"/>
        </w:rPr>
        <w:t>CYIH</w:t>
      </w:r>
      <w:r w:rsidR="00145AD7" w:rsidRPr="004F2B59">
        <w:rPr>
          <w:rFonts w:ascii="Times New Roman" w:hAnsi="Times New Roman" w:cs="Times New Roman"/>
        </w:rPr>
        <w:t xml:space="preserve"> (June 21, 2024,)</w:t>
      </w:r>
      <w:r w:rsidR="005F2574" w:rsidRPr="004F2B59">
        <w:rPr>
          <w:rFonts w:ascii="Times New Roman" w:hAnsi="Times New Roman" w:cs="Times New Roman"/>
          <w:i/>
          <w:iCs/>
        </w:rPr>
        <w:t>available at</w:t>
      </w:r>
      <w:hyperlink r:id="rId1" w:anchor=":~:text=The%201860%20Indian%20Penal%20Code,likely%20to%20have%20begun%20menstruating" w:history="1">
        <w:r w:rsidR="00145AD7" w:rsidRPr="004F2B59">
          <w:rPr>
            <w:rStyle w:val="Hyperlink"/>
            <w:rFonts w:ascii="Times New Roman" w:hAnsi="Times New Roman" w:cs="Times New Roman"/>
          </w:rPr>
          <w:t>https://chnm.gmu.edu/cyh/teaching-modules/230.html#:~:text=The%201860%20Indian%20Penal%20Code,likely%20to%20have%20begun%20menstruating</w:t>
        </w:r>
      </w:hyperlink>
      <w:r w:rsidR="00CF3864" w:rsidRPr="004F2B59">
        <w:rPr>
          <w:rStyle w:val="Hyperlink"/>
          <w:rFonts w:ascii="Times New Roman" w:hAnsi="Times New Roman" w:cs="Times New Roman"/>
          <w:color w:val="auto"/>
          <w:u w:val="none"/>
        </w:rPr>
        <w:t>(Last visited</w:t>
      </w:r>
      <w:r w:rsidR="00E00130" w:rsidRPr="004F2B59">
        <w:rPr>
          <w:rStyle w:val="Hyperlink"/>
          <w:rFonts w:ascii="Times New Roman" w:hAnsi="Times New Roman" w:cs="Times New Roman"/>
          <w:color w:val="auto"/>
          <w:u w:val="none"/>
        </w:rPr>
        <w:t xml:space="preserve"> on</w:t>
      </w:r>
      <w:r w:rsidR="00CF3864" w:rsidRPr="004F2B59">
        <w:rPr>
          <w:rStyle w:val="Hyperlink"/>
          <w:rFonts w:ascii="Times New Roman" w:hAnsi="Times New Roman" w:cs="Times New Roman"/>
          <w:color w:val="auto"/>
          <w:u w:val="none"/>
        </w:rPr>
        <w:t xml:space="preserve"> August 15, 2024)</w:t>
      </w:r>
    </w:p>
  </w:footnote>
  <w:footnote w:id="1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16B6B">
        <w:rPr>
          <w:rFonts w:ascii="Times New Roman" w:hAnsi="Times New Roman" w:cs="Times New Roman"/>
          <w:i/>
          <w:iCs/>
        </w:rPr>
        <w:t xml:space="preserve"> </w:t>
      </w:r>
      <w:r w:rsidR="00316B6B">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1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16B6B">
        <w:rPr>
          <w:rFonts w:ascii="Times New Roman" w:hAnsi="Times New Roman" w:cs="Times New Roman"/>
          <w:i/>
          <w:iCs/>
        </w:rPr>
        <w:t xml:space="preserve"> </w:t>
      </w:r>
      <w:r w:rsidR="00316B6B">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1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16B6B">
        <w:rPr>
          <w:rFonts w:ascii="Times New Roman" w:hAnsi="Times New Roman" w:cs="Times New Roman"/>
          <w:i/>
          <w:iCs/>
        </w:rPr>
        <w:t xml:space="preserve"> </w:t>
      </w:r>
      <w:r w:rsidR="00316B6B">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1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B26094">
        <w:rPr>
          <w:rFonts w:ascii="Times New Roman" w:hAnsi="Times New Roman" w:cs="Times New Roman"/>
          <w:i/>
          <w:iCs/>
        </w:rPr>
        <w:t xml:space="preserve"> </w:t>
      </w:r>
      <w:r w:rsidR="00B26094">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1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B26094">
        <w:rPr>
          <w:rFonts w:ascii="Times New Roman" w:hAnsi="Times New Roman" w:cs="Times New Roman"/>
          <w:i/>
          <w:iCs/>
        </w:rPr>
        <w:t xml:space="preserve"> </w:t>
      </w:r>
      <w:r w:rsidR="00B26094">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1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B26094">
        <w:rPr>
          <w:rFonts w:ascii="Times New Roman" w:hAnsi="Times New Roman" w:cs="Times New Roman"/>
          <w:i/>
          <w:iCs/>
        </w:rPr>
        <w:t xml:space="preserve"> </w:t>
      </w:r>
      <w:r w:rsidR="00B26094">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2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B26094">
        <w:rPr>
          <w:rFonts w:ascii="Times New Roman" w:hAnsi="Times New Roman" w:cs="Times New Roman"/>
        </w:rPr>
        <w:t xml:space="preserve"> </w:t>
      </w:r>
      <w:r w:rsidR="00B26094">
        <w:rPr>
          <w:rFonts w:ascii="Times New Roman" w:hAnsi="Times New Roman" w:cs="Times New Roman"/>
        </w:rPr>
        <w:tab/>
      </w:r>
      <w:r w:rsidR="0012260C" w:rsidRPr="004F2B59">
        <w:rPr>
          <w:rFonts w:ascii="Times New Roman" w:hAnsi="Times New Roman" w:cs="Times New Roman"/>
        </w:rPr>
        <w:t>Law Commission of India</w:t>
      </w:r>
      <w:r w:rsidRPr="004F2B59">
        <w:rPr>
          <w:rFonts w:ascii="Times New Roman" w:hAnsi="Times New Roman" w:cs="Times New Roman"/>
        </w:rPr>
        <w:t>,</w:t>
      </w:r>
      <w:r w:rsidR="00E00130" w:rsidRPr="004F2B59">
        <w:rPr>
          <w:rFonts w:ascii="Times New Roman" w:hAnsi="Times New Roman" w:cs="Times New Roman"/>
        </w:rPr>
        <w:t xml:space="preserve"> “283rd ReportAge of Consent Under The Protection Of Children From Sexual Offences Act,</w:t>
      </w:r>
      <w:r w:rsidR="0085730D" w:rsidRPr="004F2B59">
        <w:rPr>
          <w:rFonts w:ascii="Times New Roman" w:hAnsi="Times New Roman" w:cs="Times New Roman"/>
        </w:rPr>
        <w:t xml:space="preserve"> 2012</w:t>
      </w:r>
      <w:r w:rsidR="00E00130" w:rsidRPr="004F2B59">
        <w:rPr>
          <w:rFonts w:ascii="Times New Roman" w:hAnsi="Times New Roman" w:cs="Times New Roman"/>
        </w:rPr>
        <w:t>”</w:t>
      </w:r>
      <w:r w:rsidR="0012260C" w:rsidRPr="004F2B59">
        <w:rPr>
          <w:rFonts w:ascii="Times New Roman" w:hAnsi="Times New Roman" w:cs="Times New Roman"/>
        </w:rPr>
        <w:t xml:space="preserve"> (</w:t>
      </w:r>
      <w:r w:rsidR="00E00130" w:rsidRPr="004F2B59">
        <w:rPr>
          <w:rFonts w:ascii="Times New Roman" w:hAnsi="Times New Roman" w:cs="Times New Roman"/>
        </w:rPr>
        <w:t>Ministry of Law and Justice,</w:t>
      </w:r>
      <w:r w:rsidRPr="004F2B59">
        <w:rPr>
          <w:rFonts w:ascii="Times New Roman" w:hAnsi="Times New Roman" w:cs="Times New Roman"/>
        </w:rPr>
        <w:t xml:space="preserve"> 2023)</w:t>
      </w:r>
      <w:r w:rsidR="0012260C" w:rsidRPr="004F2B59">
        <w:rPr>
          <w:rFonts w:ascii="Times New Roman" w:hAnsi="Times New Roman" w:cs="Times New Roman"/>
        </w:rPr>
        <w:t>.</w:t>
      </w:r>
    </w:p>
  </w:footnote>
  <w:footnote w:id="2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FB20C6">
        <w:rPr>
          <w:rFonts w:ascii="Times New Roman" w:hAnsi="Times New Roman" w:cs="Times New Roman"/>
          <w:i/>
          <w:iCs/>
        </w:rPr>
        <w:t xml:space="preserve"> </w:t>
      </w:r>
      <w:r w:rsidR="00FB20C6">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2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FB20C6">
        <w:rPr>
          <w:rFonts w:ascii="Times New Roman" w:hAnsi="Times New Roman" w:cs="Times New Roman"/>
          <w:i/>
          <w:iCs/>
        </w:rPr>
        <w:t xml:space="preserve"> </w:t>
      </w:r>
      <w:r w:rsidR="00FB20C6">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2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FB20C6">
        <w:rPr>
          <w:rFonts w:ascii="Times New Roman" w:hAnsi="Times New Roman" w:cs="Times New Roman"/>
        </w:rPr>
        <w:t xml:space="preserve"> </w:t>
      </w:r>
      <w:r w:rsidR="00FB20C6">
        <w:rPr>
          <w:rFonts w:ascii="Times New Roman" w:hAnsi="Times New Roman" w:cs="Times New Roman"/>
        </w:rPr>
        <w:tab/>
      </w:r>
      <w:r w:rsidRPr="004F2B59">
        <w:rPr>
          <w:rFonts w:ascii="Times New Roman" w:hAnsi="Times New Roman" w:cs="Times New Roman"/>
        </w:rPr>
        <w:t xml:space="preserve">Queen Empress v. </w:t>
      </w:r>
      <w:r w:rsidR="00C51C54">
        <w:rPr>
          <w:rFonts w:ascii="Times New Roman" w:hAnsi="Times New Roman" w:cs="Times New Roman"/>
        </w:rPr>
        <w:t xml:space="preserve"> </w:t>
      </w:r>
      <w:r w:rsidRPr="004F2B59">
        <w:rPr>
          <w:rFonts w:ascii="Times New Roman" w:hAnsi="Times New Roman" w:cs="Times New Roman"/>
        </w:rPr>
        <w:t>Hurree</w:t>
      </w:r>
      <w:r w:rsidR="00C51C54">
        <w:rPr>
          <w:rFonts w:ascii="Times New Roman" w:hAnsi="Times New Roman" w:cs="Times New Roman"/>
        </w:rPr>
        <w:t xml:space="preserve"> </w:t>
      </w:r>
      <w:r w:rsidRPr="004F2B59">
        <w:rPr>
          <w:rFonts w:ascii="Times New Roman" w:hAnsi="Times New Roman" w:cs="Times New Roman"/>
        </w:rPr>
        <w:t>Mohun</w:t>
      </w:r>
      <w:r w:rsidR="00C51C54">
        <w:rPr>
          <w:rFonts w:ascii="Times New Roman" w:hAnsi="Times New Roman" w:cs="Times New Roman"/>
        </w:rPr>
        <w:t xml:space="preserve"> </w:t>
      </w:r>
      <w:r w:rsidRPr="004F2B59">
        <w:rPr>
          <w:rFonts w:ascii="Times New Roman" w:hAnsi="Times New Roman" w:cs="Times New Roman"/>
        </w:rPr>
        <w:t>Mythee (1891) ILR 18 Cal 49</w:t>
      </w:r>
      <w:r w:rsidR="000A28CC" w:rsidRPr="004F2B59">
        <w:rPr>
          <w:rFonts w:ascii="Times New Roman" w:hAnsi="Times New Roman" w:cs="Times New Roman"/>
        </w:rPr>
        <w:t xml:space="preserve"> (India)</w:t>
      </w:r>
      <w:r w:rsidRPr="004F2B59">
        <w:rPr>
          <w:rFonts w:ascii="Times New Roman" w:hAnsi="Times New Roman" w:cs="Times New Roman"/>
        </w:rPr>
        <w:t>.</w:t>
      </w:r>
    </w:p>
  </w:footnote>
  <w:footnote w:id="2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FB20C6">
        <w:rPr>
          <w:rFonts w:ascii="Times New Roman" w:hAnsi="Times New Roman" w:cs="Times New Roman"/>
          <w:i/>
          <w:iCs/>
        </w:rPr>
        <w:t xml:space="preserve"> </w:t>
      </w:r>
      <w:r w:rsidR="00FB20C6">
        <w:rPr>
          <w:rFonts w:ascii="Times New Roman" w:hAnsi="Times New Roman" w:cs="Times New Roman"/>
          <w:i/>
          <w:iCs/>
        </w:rPr>
        <w:tab/>
      </w:r>
      <w:r w:rsidR="000A28CC" w:rsidRPr="004F2B59">
        <w:rPr>
          <w:rFonts w:ascii="Times New Roman" w:hAnsi="Times New Roman" w:cs="Times New Roman"/>
          <w:i/>
          <w:iCs/>
        </w:rPr>
        <w:t xml:space="preserve">Supra, </w:t>
      </w:r>
      <w:r w:rsidR="005D72B3" w:rsidRPr="004F2B59">
        <w:rPr>
          <w:rFonts w:ascii="Times New Roman" w:hAnsi="Times New Roman" w:cs="Times New Roman"/>
        </w:rPr>
        <w:t xml:space="preserve">note </w:t>
      </w:r>
      <w:r w:rsidR="00AC022B" w:rsidRPr="004F2B59">
        <w:rPr>
          <w:rFonts w:ascii="Times New Roman" w:hAnsi="Times New Roman" w:cs="Times New Roman"/>
        </w:rPr>
        <w:t>11</w:t>
      </w:r>
      <w:r w:rsidR="005D72B3" w:rsidRPr="004F2B59">
        <w:rPr>
          <w:rFonts w:ascii="Times New Roman" w:hAnsi="Times New Roman" w:cs="Times New Roman"/>
        </w:rPr>
        <w:t>at</w:t>
      </w:r>
      <w:r w:rsidRPr="004F2B59">
        <w:rPr>
          <w:rFonts w:ascii="Times New Roman" w:hAnsi="Times New Roman" w:cs="Times New Roman"/>
        </w:rPr>
        <w:t xml:space="preserve"> 130.</w:t>
      </w:r>
    </w:p>
  </w:footnote>
  <w:footnote w:id="2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FB20C6">
        <w:rPr>
          <w:rFonts w:ascii="Times New Roman" w:hAnsi="Times New Roman" w:cs="Times New Roman"/>
        </w:rPr>
        <w:t xml:space="preserve"> </w:t>
      </w:r>
      <w:r w:rsidR="00FB20C6">
        <w:rPr>
          <w:rFonts w:ascii="Times New Roman" w:hAnsi="Times New Roman" w:cs="Times New Roman"/>
        </w:rPr>
        <w:tab/>
      </w:r>
      <w:r w:rsidR="00E00130" w:rsidRPr="004F2B59">
        <w:rPr>
          <w:rFonts w:ascii="Times New Roman" w:hAnsi="Times New Roman" w:cs="Times New Roman"/>
        </w:rPr>
        <w:t xml:space="preserve">The </w:t>
      </w:r>
      <w:r w:rsidRPr="004F2B59">
        <w:rPr>
          <w:rFonts w:ascii="Times New Roman" w:hAnsi="Times New Roman" w:cs="Times New Roman"/>
        </w:rPr>
        <w:t>Pr</w:t>
      </w:r>
      <w:r w:rsidR="00E00130" w:rsidRPr="004F2B59">
        <w:rPr>
          <w:rFonts w:ascii="Times New Roman" w:hAnsi="Times New Roman" w:cs="Times New Roman"/>
        </w:rPr>
        <w:t xml:space="preserve">ohibition </w:t>
      </w:r>
      <w:r w:rsidRPr="004F2B59">
        <w:rPr>
          <w:rFonts w:ascii="Times New Roman" w:hAnsi="Times New Roman" w:cs="Times New Roman"/>
        </w:rPr>
        <w:t>of Child Marriage Act, 2006</w:t>
      </w:r>
      <w:r w:rsidR="00E00130" w:rsidRPr="004F2B59">
        <w:rPr>
          <w:rFonts w:ascii="Times New Roman" w:hAnsi="Times New Roman" w:cs="Times New Roman"/>
        </w:rPr>
        <w:t xml:space="preserve"> (Act 6 of 2007),s</w:t>
      </w:r>
      <w:r w:rsidR="00414172" w:rsidRPr="004F2B59">
        <w:rPr>
          <w:rFonts w:ascii="Times New Roman" w:hAnsi="Times New Roman" w:cs="Times New Roman"/>
        </w:rPr>
        <w:t>.</w:t>
      </w:r>
      <w:r w:rsidRPr="004F2B59">
        <w:rPr>
          <w:rFonts w:ascii="Times New Roman" w:hAnsi="Times New Roman" w:cs="Times New Roman"/>
        </w:rPr>
        <w:t xml:space="preserve"> 2(a)</w:t>
      </w:r>
      <w:r w:rsidR="00A05E9A" w:rsidRPr="004F2B59">
        <w:rPr>
          <w:rFonts w:ascii="Times New Roman" w:hAnsi="Times New Roman" w:cs="Times New Roman"/>
        </w:rPr>
        <w:t>.</w:t>
      </w:r>
    </w:p>
  </w:footnote>
  <w:footnote w:id="2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FB20C6">
        <w:rPr>
          <w:rFonts w:ascii="Times New Roman" w:hAnsi="Times New Roman" w:cs="Times New Roman"/>
          <w:i/>
          <w:iCs/>
        </w:rPr>
        <w:t xml:space="preserve"> </w:t>
      </w:r>
      <w:r w:rsidR="00FB20C6">
        <w:rPr>
          <w:rFonts w:ascii="Times New Roman" w:hAnsi="Times New Roman" w:cs="Times New Roman"/>
          <w:i/>
          <w:iCs/>
        </w:rPr>
        <w:tab/>
      </w:r>
      <w:r w:rsidR="00A05E9A" w:rsidRPr="004F2B59">
        <w:rPr>
          <w:rFonts w:ascii="Times New Roman" w:hAnsi="Times New Roman" w:cs="Times New Roman"/>
          <w:i/>
          <w:iCs/>
        </w:rPr>
        <w:t xml:space="preserve">Id., </w:t>
      </w:r>
      <w:r w:rsidR="00A05E9A" w:rsidRPr="004F2B59">
        <w:rPr>
          <w:rFonts w:ascii="Times New Roman" w:hAnsi="Times New Roman" w:cs="Times New Roman"/>
        </w:rPr>
        <w:t>at</w:t>
      </w:r>
      <w:r w:rsidR="00E00130" w:rsidRPr="004F2B59">
        <w:rPr>
          <w:rFonts w:ascii="Times New Roman" w:hAnsi="Times New Roman" w:cs="Times New Roman"/>
        </w:rPr>
        <w:t>s</w:t>
      </w:r>
      <w:r w:rsidR="000A28CC" w:rsidRPr="004F2B59">
        <w:rPr>
          <w:rFonts w:ascii="Times New Roman" w:hAnsi="Times New Roman" w:cs="Times New Roman"/>
        </w:rPr>
        <w:t>.</w:t>
      </w:r>
      <w:r w:rsidRPr="004F2B59">
        <w:rPr>
          <w:rFonts w:ascii="Times New Roman" w:hAnsi="Times New Roman" w:cs="Times New Roman"/>
        </w:rPr>
        <w:t xml:space="preserve"> 3.</w:t>
      </w:r>
    </w:p>
  </w:footnote>
  <w:footnote w:id="2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FB20C6">
        <w:rPr>
          <w:rFonts w:ascii="Times New Roman" w:hAnsi="Times New Roman" w:cs="Times New Roman"/>
          <w:i/>
          <w:iCs/>
        </w:rPr>
        <w:t xml:space="preserve"> </w:t>
      </w:r>
      <w:r w:rsidR="00FB20C6">
        <w:rPr>
          <w:rFonts w:ascii="Times New Roman" w:hAnsi="Times New Roman" w:cs="Times New Roman"/>
          <w:i/>
          <w:iCs/>
        </w:rPr>
        <w:tab/>
      </w:r>
      <w:r w:rsidRPr="004F2B59">
        <w:rPr>
          <w:rFonts w:ascii="Times New Roman" w:hAnsi="Times New Roman" w:cs="Times New Roman"/>
          <w:i/>
          <w:iCs/>
        </w:rPr>
        <w:t>I</w:t>
      </w:r>
      <w:r w:rsidR="00E00130"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2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FB20C6">
        <w:rPr>
          <w:rFonts w:ascii="Times New Roman" w:hAnsi="Times New Roman" w:cs="Times New Roman"/>
        </w:rPr>
        <w:t xml:space="preserve"> </w:t>
      </w:r>
      <w:r w:rsidR="00FB20C6">
        <w:rPr>
          <w:rFonts w:ascii="Times New Roman" w:hAnsi="Times New Roman" w:cs="Times New Roman"/>
        </w:rPr>
        <w:tab/>
      </w:r>
      <w:r w:rsidRPr="004F2B59">
        <w:rPr>
          <w:rFonts w:ascii="Times New Roman" w:hAnsi="Times New Roman" w:cs="Times New Roman"/>
        </w:rPr>
        <w:t>The Prohibition of Child Marriage (Karnataka Amendment Act), 2016, s. 2: 2. Substitution of section 3.- In the Prohibition of Child Marriage Act, 2006 (Central Act 6 of 2007) (hereinafter referred to as the principal Act), In section 3, after sub-section (1) the following shall be inserted, namely:- “(1A) Notwithstanding anything contained in sub-section (1) every child marriage solemnized on or after the date of coming into force of the Prohibition of Child Marriage (Karnataka Amendment) Act, 2016 shall be void ab initio.</w:t>
      </w:r>
    </w:p>
  </w:footnote>
  <w:footnote w:id="2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0A28CC" w:rsidRPr="004F2B59">
        <w:rPr>
          <w:rFonts w:ascii="Times New Roman" w:hAnsi="Times New Roman" w:cs="Times New Roman"/>
          <w:i/>
          <w:iCs/>
        </w:rPr>
        <w:t xml:space="preserve">Supra, </w:t>
      </w:r>
      <w:r w:rsidR="000A28CC" w:rsidRPr="004F2B59">
        <w:rPr>
          <w:rFonts w:ascii="Times New Roman" w:hAnsi="Times New Roman" w:cs="Times New Roman"/>
        </w:rPr>
        <w:t xml:space="preserve">note </w:t>
      </w:r>
      <w:r w:rsidR="00E00130" w:rsidRPr="004F2B59">
        <w:rPr>
          <w:rFonts w:ascii="Times New Roman" w:hAnsi="Times New Roman" w:cs="Times New Roman"/>
        </w:rPr>
        <w:t>11</w:t>
      </w:r>
      <w:r w:rsidR="00CF640B" w:rsidRPr="004F2B59">
        <w:rPr>
          <w:rFonts w:ascii="Times New Roman" w:hAnsi="Times New Roman" w:cs="Times New Roman"/>
        </w:rPr>
        <w:t xml:space="preserve"> at</w:t>
      </w:r>
      <w:r w:rsidRPr="004F2B59">
        <w:rPr>
          <w:rFonts w:ascii="Times New Roman" w:hAnsi="Times New Roman" w:cs="Times New Roman"/>
        </w:rPr>
        <w:t xml:space="preserve"> 131.</w:t>
      </w:r>
    </w:p>
  </w:footnote>
  <w:footnote w:id="3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rPr>
        <w:t xml:space="preserve"> </w:t>
      </w:r>
      <w:r w:rsidR="00A91837">
        <w:rPr>
          <w:rFonts w:ascii="Times New Roman" w:hAnsi="Times New Roman" w:cs="Times New Roman"/>
        </w:rPr>
        <w:tab/>
      </w:r>
      <w:r w:rsidR="000A28CC" w:rsidRPr="004F2B59">
        <w:rPr>
          <w:rFonts w:ascii="Times New Roman" w:hAnsi="Times New Roman" w:cs="Times New Roman"/>
        </w:rPr>
        <w:t>S</w:t>
      </w:r>
      <w:r w:rsidR="00CF640B" w:rsidRPr="004F2B59">
        <w:rPr>
          <w:rFonts w:ascii="Times New Roman" w:hAnsi="Times New Roman" w:cs="Times New Roman"/>
          <w:i/>
          <w:iCs/>
        </w:rPr>
        <w:t>upra</w:t>
      </w:r>
      <w:r w:rsidR="000A28CC" w:rsidRPr="004F2B59">
        <w:rPr>
          <w:rFonts w:ascii="Times New Roman" w:hAnsi="Times New Roman" w:cs="Times New Roman"/>
          <w:i/>
          <w:iCs/>
        </w:rPr>
        <w:t>,</w:t>
      </w:r>
      <w:r w:rsidR="00CF640B" w:rsidRPr="004F2B59">
        <w:rPr>
          <w:rFonts w:ascii="Times New Roman" w:hAnsi="Times New Roman" w:cs="Times New Roman"/>
        </w:rPr>
        <w:t xml:space="preserve">note </w:t>
      </w:r>
      <w:r w:rsidR="00E00130" w:rsidRPr="004F2B59">
        <w:rPr>
          <w:rFonts w:ascii="Times New Roman" w:hAnsi="Times New Roman" w:cs="Times New Roman"/>
        </w:rPr>
        <w:t>5</w:t>
      </w:r>
      <w:r w:rsidR="000A28CC" w:rsidRPr="004F2B59">
        <w:rPr>
          <w:rFonts w:ascii="Times New Roman" w:hAnsi="Times New Roman" w:cs="Times New Roman"/>
        </w:rPr>
        <w:t xml:space="preserve">, </w:t>
      </w:r>
      <w:r w:rsidR="00E00130" w:rsidRPr="004F2B59">
        <w:rPr>
          <w:rFonts w:ascii="Times New Roman" w:hAnsi="Times New Roman" w:cs="Times New Roman"/>
        </w:rPr>
        <w:t>at s</w:t>
      </w:r>
      <w:r w:rsidR="000A28CC" w:rsidRPr="004F2B59">
        <w:rPr>
          <w:rFonts w:ascii="Times New Roman" w:hAnsi="Times New Roman" w:cs="Times New Roman"/>
        </w:rPr>
        <w:t>.</w:t>
      </w:r>
      <w:r w:rsidRPr="004F2B59">
        <w:rPr>
          <w:rFonts w:ascii="Times New Roman" w:hAnsi="Times New Roman" w:cs="Times New Roman"/>
        </w:rPr>
        <w:t xml:space="preserve"> 2(d).</w:t>
      </w:r>
    </w:p>
  </w:footnote>
  <w:footnote w:id="3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CF640B" w:rsidRPr="004F2B59">
        <w:rPr>
          <w:rFonts w:ascii="Times New Roman" w:hAnsi="Times New Roman" w:cs="Times New Roman"/>
          <w:i/>
          <w:iCs/>
        </w:rPr>
        <w:t xml:space="preserve">Id., </w:t>
      </w:r>
      <w:r w:rsidR="00CF640B"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00CF640B" w:rsidRPr="004F2B59">
        <w:rPr>
          <w:rFonts w:ascii="Times New Roman" w:hAnsi="Times New Roman" w:cs="Times New Roman"/>
        </w:rPr>
        <w:t xml:space="preserve"> 3.</w:t>
      </w:r>
    </w:p>
  </w:footnote>
  <w:footnote w:id="3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CF640B" w:rsidRPr="004F2B59">
        <w:rPr>
          <w:rFonts w:ascii="Times New Roman" w:hAnsi="Times New Roman" w:cs="Times New Roman"/>
          <w:i/>
          <w:iCs/>
        </w:rPr>
        <w:t xml:space="preserve">Id., </w:t>
      </w:r>
      <w:r w:rsidR="00CF640B"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 xml:space="preserve">. </w:t>
      </w:r>
      <w:r w:rsidR="00CF640B" w:rsidRPr="004F2B59">
        <w:rPr>
          <w:rFonts w:ascii="Times New Roman" w:hAnsi="Times New Roman" w:cs="Times New Roman"/>
        </w:rPr>
        <w:t>5.</w:t>
      </w:r>
    </w:p>
  </w:footnote>
  <w:footnote w:id="3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CF640B" w:rsidRPr="004F2B59">
        <w:rPr>
          <w:rFonts w:ascii="Times New Roman" w:hAnsi="Times New Roman" w:cs="Times New Roman"/>
          <w:i/>
          <w:iCs/>
        </w:rPr>
        <w:t xml:space="preserve">Id., </w:t>
      </w:r>
      <w:r w:rsidR="00CF640B"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00CF640B" w:rsidRPr="004F2B59">
        <w:rPr>
          <w:rFonts w:ascii="Times New Roman" w:hAnsi="Times New Roman" w:cs="Times New Roman"/>
        </w:rPr>
        <w:t xml:space="preserve"> 7.</w:t>
      </w:r>
    </w:p>
  </w:footnote>
  <w:footnote w:id="3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CF640B" w:rsidRPr="004F2B59">
        <w:rPr>
          <w:rFonts w:ascii="Times New Roman" w:hAnsi="Times New Roman" w:cs="Times New Roman"/>
          <w:i/>
          <w:iCs/>
        </w:rPr>
        <w:t xml:space="preserve">Id., </w:t>
      </w:r>
      <w:r w:rsidR="00CF640B"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00CF640B" w:rsidRPr="004F2B59">
        <w:rPr>
          <w:rFonts w:ascii="Times New Roman" w:hAnsi="Times New Roman" w:cs="Times New Roman"/>
        </w:rPr>
        <w:t xml:space="preserve"> 9.</w:t>
      </w:r>
    </w:p>
  </w:footnote>
  <w:footnote w:id="3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CF640B" w:rsidRPr="004F2B59">
        <w:rPr>
          <w:rFonts w:ascii="Times New Roman" w:hAnsi="Times New Roman" w:cs="Times New Roman"/>
          <w:i/>
          <w:iCs/>
        </w:rPr>
        <w:t xml:space="preserve">Id., </w:t>
      </w:r>
      <w:r w:rsidR="00CF640B"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00CF640B" w:rsidRPr="004F2B59">
        <w:rPr>
          <w:rFonts w:ascii="Times New Roman" w:hAnsi="Times New Roman" w:cs="Times New Roman"/>
        </w:rPr>
        <w:t xml:space="preserve"> 11.</w:t>
      </w:r>
    </w:p>
  </w:footnote>
  <w:footnote w:id="3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CF640B" w:rsidRPr="004F2B59">
        <w:rPr>
          <w:rFonts w:ascii="Times New Roman" w:hAnsi="Times New Roman" w:cs="Times New Roman"/>
          <w:i/>
          <w:iCs/>
        </w:rPr>
        <w:t xml:space="preserve">Id., </w:t>
      </w:r>
      <w:r w:rsidR="00CF640B"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 xml:space="preserve">. </w:t>
      </w:r>
      <w:r w:rsidR="00CF640B" w:rsidRPr="004F2B59">
        <w:rPr>
          <w:rFonts w:ascii="Times New Roman" w:hAnsi="Times New Roman" w:cs="Times New Roman"/>
        </w:rPr>
        <w:t>13.</w:t>
      </w:r>
    </w:p>
  </w:footnote>
  <w:footnote w:id="3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E00130" w:rsidRPr="004F2B59">
        <w:rPr>
          <w:rFonts w:ascii="Times New Roman" w:hAnsi="Times New Roman" w:cs="Times New Roman"/>
          <w:i/>
          <w:iCs/>
        </w:rPr>
        <w:t>Id.,</w:t>
      </w:r>
      <w:r w:rsidR="000A28CC" w:rsidRPr="004F2B59">
        <w:rPr>
          <w:rFonts w:ascii="Times New Roman" w:hAnsi="Times New Roman" w:cs="Times New Roman"/>
        </w:rPr>
        <w:t xml:space="preserve"> at </w:t>
      </w:r>
      <w:r w:rsidR="00E00130" w:rsidRPr="004F2B59">
        <w:rPr>
          <w:rFonts w:ascii="Times New Roman" w:hAnsi="Times New Roman" w:cs="Times New Roman"/>
        </w:rPr>
        <w:t>s</w:t>
      </w:r>
      <w:r w:rsidR="000A28CC" w:rsidRPr="004F2B59">
        <w:rPr>
          <w:rFonts w:ascii="Times New Roman" w:hAnsi="Times New Roman" w:cs="Times New Roman"/>
        </w:rPr>
        <w:t>. 3.</w:t>
      </w:r>
    </w:p>
  </w:footnote>
  <w:footnote w:id="3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Pr="004F2B59">
        <w:rPr>
          <w:rFonts w:ascii="Times New Roman" w:hAnsi="Times New Roman" w:cs="Times New Roman"/>
        </w:rPr>
        <w:t>3(d).</w:t>
      </w:r>
    </w:p>
  </w:footnote>
  <w:footnote w:id="3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005879F7" w:rsidRPr="004F2B59">
        <w:rPr>
          <w:rFonts w:ascii="Times New Roman" w:hAnsi="Times New Roman" w:cs="Times New Roman"/>
        </w:rPr>
        <w:t xml:space="preserve"> 28.</w:t>
      </w:r>
    </w:p>
  </w:footnote>
  <w:footnote w:id="4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A91837">
        <w:rPr>
          <w:rFonts w:ascii="Times New Roman" w:hAnsi="Times New Roman" w:cs="Times New Roman"/>
          <w:i/>
          <w:iCs/>
        </w:rPr>
        <w:t xml:space="preserve"> </w:t>
      </w:r>
      <w:r w:rsidR="00A91837">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Pr="004F2B59">
        <w:rPr>
          <w:rFonts w:ascii="Times New Roman" w:hAnsi="Times New Roman" w:cs="Times New Roman"/>
        </w:rPr>
        <w:t>32.</w:t>
      </w:r>
    </w:p>
  </w:footnote>
  <w:footnote w:id="4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i/>
          <w:iCs/>
        </w:rPr>
        <w:t xml:space="preserve"> </w:t>
      </w:r>
      <w:r w:rsidR="00635470">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Pr="004F2B59">
        <w:rPr>
          <w:rFonts w:ascii="Times New Roman" w:hAnsi="Times New Roman" w:cs="Times New Roman"/>
        </w:rPr>
        <w:t>29.</w:t>
      </w:r>
    </w:p>
  </w:footnote>
  <w:footnote w:id="4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i/>
          <w:iCs/>
        </w:rPr>
        <w:t xml:space="preserve"> </w:t>
      </w:r>
      <w:r w:rsidR="00635470">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 xml:space="preserve">. </w:t>
      </w:r>
      <w:r w:rsidRPr="004F2B59">
        <w:rPr>
          <w:rFonts w:ascii="Times New Roman" w:hAnsi="Times New Roman" w:cs="Times New Roman"/>
        </w:rPr>
        <w:t>33(4).</w:t>
      </w:r>
    </w:p>
  </w:footnote>
  <w:footnote w:id="4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i/>
          <w:iCs/>
        </w:rPr>
        <w:t xml:space="preserve"> </w:t>
      </w:r>
      <w:r w:rsidR="00635470">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Pr="004F2B59">
        <w:rPr>
          <w:rFonts w:ascii="Times New Roman" w:hAnsi="Times New Roman" w:cs="Times New Roman"/>
        </w:rPr>
        <w:t>33(5).</w:t>
      </w:r>
    </w:p>
  </w:footnote>
  <w:footnote w:id="4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i/>
          <w:iCs/>
        </w:rPr>
        <w:t xml:space="preserve"> </w:t>
      </w:r>
      <w:r w:rsidR="00635470">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Pr="004F2B59">
        <w:rPr>
          <w:rFonts w:ascii="Times New Roman" w:hAnsi="Times New Roman" w:cs="Times New Roman"/>
        </w:rPr>
        <w:t>33(6).</w:t>
      </w:r>
    </w:p>
  </w:footnote>
  <w:footnote w:id="4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i/>
          <w:iCs/>
        </w:rPr>
        <w:t xml:space="preserve"> </w:t>
      </w:r>
      <w:r w:rsidR="00635470">
        <w:rPr>
          <w:rFonts w:ascii="Times New Roman" w:hAnsi="Times New Roman" w:cs="Times New Roman"/>
          <w:i/>
          <w:iCs/>
        </w:rPr>
        <w:tab/>
      </w:r>
      <w:r w:rsidR="005879F7" w:rsidRPr="004F2B59">
        <w:rPr>
          <w:rFonts w:ascii="Times New Roman" w:hAnsi="Times New Roman" w:cs="Times New Roman"/>
          <w:i/>
          <w:iCs/>
        </w:rPr>
        <w:t xml:space="preserve">Id., </w:t>
      </w:r>
      <w:r w:rsidR="005879F7" w:rsidRPr="004F2B59">
        <w:rPr>
          <w:rFonts w:ascii="Times New Roman" w:hAnsi="Times New Roman" w:cs="Times New Roman"/>
        </w:rPr>
        <w:t xml:space="preserve">at </w:t>
      </w:r>
      <w:r w:rsidR="00E00130" w:rsidRPr="004F2B59">
        <w:rPr>
          <w:rFonts w:ascii="Times New Roman" w:hAnsi="Times New Roman" w:cs="Times New Roman"/>
        </w:rPr>
        <w:t>s</w:t>
      </w:r>
      <w:r w:rsidR="000A28CC" w:rsidRPr="004F2B59">
        <w:rPr>
          <w:rFonts w:ascii="Times New Roman" w:hAnsi="Times New Roman" w:cs="Times New Roman"/>
        </w:rPr>
        <w:t>.</w:t>
      </w:r>
      <w:r w:rsidRPr="004F2B59">
        <w:rPr>
          <w:rFonts w:ascii="Times New Roman" w:hAnsi="Times New Roman" w:cs="Times New Roman"/>
        </w:rPr>
        <w:t>42-A.</w:t>
      </w:r>
    </w:p>
  </w:footnote>
  <w:footnote w:id="4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rPr>
        <w:t xml:space="preserve"> </w:t>
      </w:r>
      <w:r w:rsidR="00635470">
        <w:rPr>
          <w:rFonts w:ascii="Times New Roman" w:hAnsi="Times New Roman" w:cs="Times New Roman"/>
        </w:rPr>
        <w:tab/>
      </w:r>
      <w:r w:rsidR="000A28CC" w:rsidRPr="004F2B59">
        <w:rPr>
          <w:rFonts w:ascii="Times New Roman" w:hAnsi="Times New Roman" w:cs="Times New Roman"/>
        </w:rPr>
        <w:t>S</w:t>
      </w:r>
      <w:r w:rsidR="003D6F5B" w:rsidRPr="004F2B59">
        <w:rPr>
          <w:rFonts w:ascii="Times New Roman" w:hAnsi="Times New Roman" w:cs="Times New Roman"/>
          <w:i/>
          <w:iCs/>
        </w:rPr>
        <w:t>upra</w:t>
      </w:r>
      <w:r w:rsidR="000A28CC" w:rsidRPr="004F2B59">
        <w:rPr>
          <w:rFonts w:ascii="Times New Roman" w:hAnsi="Times New Roman" w:cs="Times New Roman"/>
          <w:i/>
          <w:iCs/>
        </w:rPr>
        <w:t>,</w:t>
      </w:r>
      <w:r w:rsidR="003D6F5B" w:rsidRPr="004F2B59">
        <w:rPr>
          <w:rFonts w:ascii="Times New Roman" w:hAnsi="Times New Roman" w:cs="Times New Roman"/>
        </w:rPr>
        <w:t xml:space="preserve">note </w:t>
      </w:r>
      <w:r w:rsidR="007110EB" w:rsidRPr="004F2B59">
        <w:rPr>
          <w:rFonts w:ascii="Times New Roman" w:hAnsi="Times New Roman" w:cs="Times New Roman"/>
        </w:rPr>
        <w:t>4</w:t>
      </w:r>
      <w:r w:rsidR="000A28CC" w:rsidRPr="004F2B59">
        <w:rPr>
          <w:rFonts w:ascii="Times New Roman" w:hAnsi="Times New Roman" w:cs="Times New Roman"/>
        </w:rPr>
        <w:t xml:space="preserve">, </w:t>
      </w:r>
      <w:r w:rsidR="007110EB" w:rsidRPr="004F2B59">
        <w:rPr>
          <w:rFonts w:ascii="Times New Roman" w:hAnsi="Times New Roman" w:cs="Times New Roman"/>
        </w:rPr>
        <w:t>at</w:t>
      </w:r>
      <w:r w:rsidR="00414172" w:rsidRPr="004F2B59">
        <w:rPr>
          <w:rFonts w:ascii="Times New Roman" w:hAnsi="Times New Roman" w:cs="Times New Roman"/>
        </w:rPr>
        <w:t>S.</w:t>
      </w:r>
      <w:r w:rsidRPr="004F2B59">
        <w:rPr>
          <w:rFonts w:ascii="Times New Roman" w:hAnsi="Times New Roman" w:cs="Times New Roman"/>
        </w:rPr>
        <w:t xml:space="preserve"> 9</w:t>
      </w:r>
      <w:r w:rsidR="007110EB" w:rsidRPr="004F2B59">
        <w:rPr>
          <w:rFonts w:ascii="Times New Roman" w:hAnsi="Times New Roman" w:cs="Times New Roman"/>
        </w:rPr>
        <w:t>.</w:t>
      </w:r>
    </w:p>
  </w:footnote>
  <w:footnote w:id="4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rPr>
        <w:t xml:space="preserve"> </w:t>
      </w:r>
      <w:r w:rsidR="00635470">
        <w:rPr>
          <w:rFonts w:ascii="Times New Roman" w:hAnsi="Times New Roman" w:cs="Times New Roman"/>
        </w:rPr>
        <w:tab/>
      </w:r>
      <w:r w:rsidR="007110EB" w:rsidRPr="004F2B59">
        <w:rPr>
          <w:rFonts w:ascii="Times New Roman" w:hAnsi="Times New Roman" w:cs="Times New Roman"/>
        </w:rPr>
        <w:t>The Indian Penal Code, 1860 (Act 45 of 1860),s</w:t>
      </w:r>
      <w:r w:rsidR="000A28CC" w:rsidRPr="004F2B59">
        <w:rPr>
          <w:rFonts w:ascii="Times New Roman" w:hAnsi="Times New Roman" w:cs="Times New Roman"/>
        </w:rPr>
        <w:t>.</w:t>
      </w:r>
      <w:r w:rsidRPr="004F2B59">
        <w:rPr>
          <w:rFonts w:ascii="Times New Roman" w:hAnsi="Times New Roman" w:cs="Times New Roman"/>
        </w:rPr>
        <w:t>375.</w:t>
      </w:r>
    </w:p>
  </w:footnote>
  <w:footnote w:id="4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lang w:val="en-US"/>
        </w:rPr>
        <w:t xml:space="preserve"> </w:t>
      </w:r>
      <w:r w:rsidR="00635470">
        <w:rPr>
          <w:rFonts w:ascii="Times New Roman" w:hAnsi="Times New Roman" w:cs="Times New Roman"/>
          <w:lang w:val="en-US"/>
        </w:rPr>
        <w:tab/>
      </w:r>
      <w:r w:rsidRPr="004F2B59">
        <w:rPr>
          <w:rFonts w:ascii="Times New Roman" w:hAnsi="Times New Roman" w:cs="Times New Roman"/>
          <w:lang w:val="en-US"/>
        </w:rPr>
        <w:t>AIR 2017 SC 4904.</w:t>
      </w:r>
    </w:p>
  </w:footnote>
  <w:footnote w:id="4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35470">
        <w:rPr>
          <w:rFonts w:ascii="Times New Roman" w:hAnsi="Times New Roman" w:cs="Times New Roman"/>
        </w:rPr>
        <w:t xml:space="preserve"> </w:t>
      </w:r>
      <w:r w:rsidR="00635470">
        <w:rPr>
          <w:rFonts w:ascii="Times New Roman" w:hAnsi="Times New Roman" w:cs="Times New Roman"/>
        </w:rPr>
        <w:tab/>
      </w:r>
      <w:r w:rsidR="000A28CC" w:rsidRPr="004F2B59">
        <w:rPr>
          <w:rFonts w:ascii="Times New Roman" w:hAnsi="Times New Roman" w:cs="Times New Roman"/>
        </w:rPr>
        <w:t>S</w:t>
      </w:r>
      <w:r w:rsidR="00CF640B" w:rsidRPr="004F2B59">
        <w:rPr>
          <w:rFonts w:ascii="Times New Roman" w:hAnsi="Times New Roman" w:cs="Times New Roman"/>
          <w:i/>
          <w:iCs/>
        </w:rPr>
        <w:t>upra</w:t>
      </w:r>
      <w:r w:rsidR="000A28CC" w:rsidRPr="004F2B59">
        <w:rPr>
          <w:rFonts w:ascii="Times New Roman" w:hAnsi="Times New Roman" w:cs="Times New Roman"/>
          <w:i/>
          <w:iCs/>
        </w:rPr>
        <w:t>,</w:t>
      </w:r>
      <w:r w:rsidR="00CF640B" w:rsidRPr="004F2B59">
        <w:rPr>
          <w:rFonts w:ascii="Times New Roman" w:hAnsi="Times New Roman" w:cs="Times New Roman"/>
        </w:rPr>
        <w:t xml:space="preserve"> note </w:t>
      </w:r>
      <w:r w:rsidR="007110EB" w:rsidRPr="004F2B59">
        <w:rPr>
          <w:rFonts w:ascii="Times New Roman" w:hAnsi="Times New Roman" w:cs="Times New Roman"/>
        </w:rPr>
        <w:t xml:space="preserve">11 </w:t>
      </w:r>
      <w:r w:rsidR="00CF640B" w:rsidRPr="004F2B59">
        <w:rPr>
          <w:rFonts w:ascii="Times New Roman" w:hAnsi="Times New Roman" w:cs="Times New Roman"/>
        </w:rPr>
        <w:t>at</w:t>
      </w:r>
      <w:r w:rsidRPr="004F2B59">
        <w:rPr>
          <w:rFonts w:ascii="Times New Roman" w:hAnsi="Times New Roman" w:cs="Times New Roman"/>
        </w:rPr>
        <w:t>132</w:t>
      </w:r>
      <w:r w:rsidR="00CF640B" w:rsidRPr="004F2B59">
        <w:rPr>
          <w:rFonts w:ascii="Times New Roman" w:hAnsi="Times New Roman" w:cs="Times New Roman"/>
        </w:rPr>
        <w:t>.</w:t>
      </w:r>
    </w:p>
  </w:footnote>
  <w:footnote w:id="50">
    <w:p w:rsidR="00D21D2C" w:rsidRPr="004F2B59" w:rsidRDefault="00D21D2C"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571027">
        <w:rPr>
          <w:rFonts w:ascii="Times New Roman" w:hAnsi="Times New Roman" w:cs="Times New Roman"/>
        </w:rPr>
        <w:t xml:space="preserve"> </w:t>
      </w:r>
      <w:r w:rsidR="00571027">
        <w:rPr>
          <w:rFonts w:ascii="Times New Roman" w:hAnsi="Times New Roman" w:cs="Times New Roman"/>
        </w:rPr>
        <w:tab/>
      </w:r>
      <w:r w:rsidR="00851F64" w:rsidRPr="004F2B59">
        <w:rPr>
          <w:rFonts w:ascii="Times New Roman" w:hAnsi="Times New Roman" w:cs="Times New Roman"/>
        </w:rPr>
        <w:t xml:space="preserve">The </w:t>
      </w:r>
      <w:r w:rsidRPr="004F2B59">
        <w:rPr>
          <w:rFonts w:ascii="Times New Roman" w:hAnsi="Times New Roman" w:cs="Times New Roman"/>
        </w:rPr>
        <w:t>Bharatiya Nyaya Sanhita 2023</w:t>
      </w:r>
      <w:r w:rsidR="007110EB" w:rsidRPr="004F2B59">
        <w:rPr>
          <w:rFonts w:ascii="Times New Roman" w:hAnsi="Times New Roman" w:cs="Times New Roman"/>
        </w:rPr>
        <w:t xml:space="preserve"> (Act 45 of 2023),s</w:t>
      </w:r>
      <w:r w:rsidR="000A28CC" w:rsidRPr="004F2B59">
        <w:rPr>
          <w:rFonts w:ascii="Times New Roman" w:hAnsi="Times New Roman" w:cs="Times New Roman"/>
        </w:rPr>
        <w:t>.</w:t>
      </w:r>
      <w:r w:rsidR="00851F64" w:rsidRPr="004F2B59">
        <w:rPr>
          <w:rFonts w:ascii="Times New Roman" w:hAnsi="Times New Roman" w:cs="Times New Roman"/>
        </w:rPr>
        <w:t xml:space="preserve"> 2(3)</w:t>
      </w:r>
    </w:p>
  </w:footnote>
  <w:footnote w:id="5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571027">
        <w:rPr>
          <w:rFonts w:ascii="Times New Roman" w:hAnsi="Times New Roman" w:cs="Times New Roman"/>
          <w:i/>
          <w:iCs/>
        </w:rPr>
        <w:t xml:space="preserve"> </w:t>
      </w:r>
      <w:r w:rsidR="00571027">
        <w:rPr>
          <w:rFonts w:ascii="Times New Roman" w:hAnsi="Times New Roman" w:cs="Times New Roman"/>
          <w:i/>
          <w:iCs/>
        </w:rPr>
        <w:tab/>
      </w:r>
      <w:r w:rsidR="00BB4F1A" w:rsidRPr="004F2B59">
        <w:rPr>
          <w:rFonts w:ascii="Times New Roman" w:hAnsi="Times New Roman" w:cs="Times New Roman"/>
          <w:i/>
          <w:iCs/>
        </w:rPr>
        <w:t xml:space="preserve">Supra </w:t>
      </w:r>
      <w:r w:rsidR="00BB4F1A" w:rsidRPr="004F2B59">
        <w:rPr>
          <w:rFonts w:ascii="Times New Roman" w:hAnsi="Times New Roman" w:cs="Times New Roman"/>
        </w:rPr>
        <w:t xml:space="preserve">note </w:t>
      </w:r>
      <w:r w:rsidR="007110EB" w:rsidRPr="004F2B59">
        <w:rPr>
          <w:rFonts w:ascii="Times New Roman" w:hAnsi="Times New Roman" w:cs="Times New Roman"/>
        </w:rPr>
        <w:t>5</w:t>
      </w:r>
      <w:r w:rsidR="006F3573" w:rsidRPr="004F2B59">
        <w:rPr>
          <w:rFonts w:ascii="Times New Roman" w:hAnsi="Times New Roman" w:cs="Times New Roman"/>
        </w:rPr>
        <w:t xml:space="preserve"> at</w:t>
      </w:r>
      <w:r w:rsidR="007110EB" w:rsidRPr="004F2B59">
        <w:rPr>
          <w:rFonts w:ascii="Times New Roman" w:hAnsi="Times New Roman" w:cs="Times New Roman"/>
        </w:rPr>
        <w:t>s</w:t>
      </w:r>
      <w:r w:rsidR="00BB4F1A" w:rsidRPr="004F2B59">
        <w:rPr>
          <w:rFonts w:ascii="Times New Roman" w:hAnsi="Times New Roman" w:cs="Times New Roman"/>
        </w:rPr>
        <w:t>.</w:t>
      </w:r>
      <w:r w:rsidRPr="004F2B59">
        <w:rPr>
          <w:rFonts w:ascii="Times New Roman" w:hAnsi="Times New Roman" w:cs="Times New Roman"/>
        </w:rPr>
        <w:t xml:space="preserve"> 34.</w:t>
      </w:r>
    </w:p>
  </w:footnote>
  <w:footnote w:id="52">
    <w:p w:rsidR="002655C6" w:rsidRPr="004F2B59" w:rsidRDefault="002655C6" w:rsidP="002103F0">
      <w:pPr>
        <w:pStyle w:val="FootnoteText"/>
        <w:spacing w:line="220" w:lineRule="exact"/>
        <w:ind w:left="432" w:hanging="432"/>
        <w:jc w:val="both"/>
        <w:rPr>
          <w:rFonts w:ascii="Times New Roman" w:hAnsi="Times New Roman" w:cs="Times New Roman"/>
          <w:lang w:val="en-US"/>
        </w:rPr>
      </w:pPr>
      <w:r w:rsidRPr="004F2B59">
        <w:rPr>
          <w:rStyle w:val="FootnoteReference"/>
          <w:rFonts w:ascii="Times New Roman" w:hAnsi="Times New Roman" w:cs="Times New Roman"/>
          <w:vertAlign w:val="baseline"/>
        </w:rPr>
        <w:footnoteRef/>
      </w:r>
      <w:r w:rsidR="00571027">
        <w:rPr>
          <w:rFonts w:ascii="Times New Roman" w:hAnsi="Times New Roman" w:cs="Times New Roman"/>
        </w:rPr>
        <w:t xml:space="preserve"> </w:t>
      </w:r>
      <w:r w:rsidR="00571027">
        <w:rPr>
          <w:rFonts w:ascii="Times New Roman" w:hAnsi="Times New Roman" w:cs="Times New Roman"/>
        </w:rPr>
        <w:tab/>
      </w:r>
      <w:r w:rsidR="007110EB" w:rsidRPr="004F2B59">
        <w:rPr>
          <w:rFonts w:ascii="Times New Roman" w:hAnsi="Times New Roman" w:cs="Times New Roman"/>
        </w:rPr>
        <w:t>Government of India, “</w:t>
      </w:r>
      <w:r w:rsidR="007110EB" w:rsidRPr="004F2B59">
        <w:rPr>
          <w:rFonts w:ascii="Times New Roman" w:hAnsi="Times New Roman" w:cs="Times New Roman"/>
          <w:lang w:val="en-US"/>
        </w:rPr>
        <w:t>National Family Health Survey-3”</w:t>
      </w:r>
      <w:r w:rsidR="00F202F7" w:rsidRPr="004F2B59">
        <w:rPr>
          <w:rFonts w:ascii="Times New Roman" w:hAnsi="Times New Roman" w:cs="Times New Roman"/>
          <w:lang w:val="en-US"/>
        </w:rPr>
        <w:t>169</w:t>
      </w:r>
      <w:r w:rsidR="007110EB" w:rsidRPr="004F2B59">
        <w:rPr>
          <w:rFonts w:ascii="Times New Roman" w:hAnsi="Times New Roman" w:cs="Times New Roman"/>
          <w:lang w:val="en-US"/>
        </w:rPr>
        <w:t xml:space="preserve"> (</w:t>
      </w:r>
      <w:r w:rsidR="007110EB" w:rsidRPr="004F2B59">
        <w:rPr>
          <w:rFonts w:ascii="Times New Roman" w:hAnsi="Times New Roman" w:cs="Times New Roman"/>
        </w:rPr>
        <w:t>Ministry of Health and Family Welfare,</w:t>
      </w:r>
      <w:r w:rsidR="005A1F0D" w:rsidRPr="004F2B59">
        <w:rPr>
          <w:rFonts w:ascii="Times New Roman" w:hAnsi="Times New Roman" w:cs="Times New Roman"/>
          <w:lang w:val="en-US"/>
        </w:rPr>
        <w:t>2005-06)</w:t>
      </w:r>
      <w:r w:rsidR="007110EB" w:rsidRPr="004F2B59">
        <w:rPr>
          <w:rFonts w:ascii="Times New Roman" w:hAnsi="Times New Roman" w:cs="Times New Roman"/>
          <w:lang w:val="en-US"/>
        </w:rPr>
        <w:t>.</w:t>
      </w:r>
    </w:p>
  </w:footnote>
  <w:footnote w:id="53">
    <w:p w:rsidR="002655C6" w:rsidRPr="004F2B59" w:rsidRDefault="002655C6" w:rsidP="002103F0">
      <w:pPr>
        <w:pStyle w:val="FootnoteText"/>
        <w:spacing w:line="220" w:lineRule="exact"/>
        <w:ind w:left="432" w:hanging="432"/>
        <w:jc w:val="both"/>
        <w:rPr>
          <w:rFonts w:ascii="Times New Roman" w:hAnsi="Times New Roman" w:cs="Times New Roman"/>
          <w:lang w:val="en-US"/>
        </w:rPr>
      </w:pPr>
      <w:r w:rsidRPr="004F2B59">
        <w:rPr>
          <w:rStyle w:val="FootnoteReference"/>
          <w:rFonts w:ascii="Times New Roman" w:hAnsi="Times New Roman" w:cs="Times New Roman"/>
          <w:vertAlign w:val="baseline"/>
        </w:rPr>
        <w:footnoteRef/>
      </w:r>
      <w:r w:rsidR="00571027">
        <w:rPr>
          <w:rFonts w:ascii="Times New Roman" w:hAnsi="Times New Roman" w:cs="Times New Roman"/>
          <w:i/>
          <w:iCs/>
          <w:lang w:val="en-US"/>
        </w:rPr>
        <w:t xml:space="preserve"> </w:t>
      </w:r>
      <w:r w:rsidR="00571027">
        <w:rPr>
          <w:rFonts w:ascii="Times New Roman" w:hAnsi="Times New Roman" w:cs="Times New Roman"/>
          <w:i/>
          <w:iCs/>
          <w:lang w:val="en-US"/>
        </w:rPr>
        <w:tab/>
      </w:r>
      <w:r w:rsidR="00F202F7" w:rsidRPr="004F2B59">
        <w:rPr>
          <w:rFonts w:ascii="Times New Roman" w:hAnsi="Times New Roman" w:cs="Times New Roman"/>
          <w:i/>
          <w:iCs/>
          <w:lang w:val="en-US"/>
        </w:rPr>
        <w:t>I</w:t>
      </w:r>
      <w:r w:rsidR="007110EB" w:rsidRPr="004F2B59">
        <w:rPr>
          <w:rFonts w:ascii="Times New Roman" w:hAnsi="Times New Roman" w:cs="Times New Roman"/>
          <w:i/>
          <w:iCs/>
          <w:lang w:val="en-US"/>
        </w:rPr>
        <w:t>bi</w:t>
      </w:r>
      <w:r w:rsidR="00F202F7" w:rsidRPr="004F2B59">
        <w:rPr>
          <w:rFonts w:ascii="Times New Roman" w:hAnsi="Times New Roman" w:cs="Times New Roman"/>
          <w:i/>
          <w:iCs/>
          <w:lang w:val="en-US"/>
        </w:rPr>
        <w:t>d.</w:t>
      </w:r>
    </w:p>
  </w:footnote>
  <w:footnote w:id="54">
    <w:p w:rsidR="002655C6" w:rsidRPr="004F2B59" w:rsidRDefault="002655C6" w:rsidP="002103F0">
      <w:pPr>
        <w:pStyle w:val="FootnoteText"/>
        <w:spacing w:line="220" w:lineRule="exact"/>
        <w:ind w:left="432" w:hanging="432"/>
        <w:jc w:val="both"/>
        <w:rPr>
          <w:rFonts w:ascii="Times New Roman" w:hAnsi="Times New Roman" w:cs="Times New Roman"/>
          <w:lang w:val="en-US"/>
        </w:rPr>
      </w:pPr>
      <w:r w:rsidRPr="004F2B59">
        <w:rPr>
          <w:rStyle w:val="FootnoteReference"/>
          <w:rFonts w:ascii="Times New Roman" w:hAnsi="Times New Roman" w:cs="Times New Roman"/>
          <w:vertAlign w:val="baseline"/>
        </w:rPr>
        <w:footnoteRef/>
      </w:r>
      <w:r w:rsidR="007110EB" w:rsidRPr="004F2B59">
        <w:rPr>
          <w:rFonts w:ascii="Times New Roman" w:hAnsi="Times New Roman" w:cs="Times New Roman"/>
        </w:rPr>
        <w:t xml:space="preserve"> </w:t>
      </w:r>
      <w:r w:rsidR="003D6662">
        <w:rPr>
          <w:rFonts w:ascii="Times New Roman" w:hAnsi="Times New Roman" w:cs="Times New Roman"/>
        </w:rPr>
        <w:tab/>
      </w:r>
      <w:r w:rsidR="007110EB" w:rsidRPr="004F2B59">
        <w:rPr>
          <w:rFonts w:ascii="Times New Roman" w:hAnsi="Times New Roman" w:cs="Times New Roman"/>
        </w:rPr>
        <w:t>Government of India,“</w:t>
      </w:r>
      <w:r w:rsidR="007110EB" w:rsidRPr="004F2B59">
        <w:rPr>
          <w:rFonts w:ascii="Times New Roman" w:hAnsi="Times New Roman" w:cs="Times New Roman"/>
          <w:lang w:val="en-US"/>
        </w:rPr>
        <w:t xml:space="preserve">National Family Health Survey-4” </w:t>
      </w:r>
      <w:r w:rsidR="00ED531A" w:rsidRPr="004F2B59">
        <w:rPr>
          <w:rFonts w:ascii="Times New Roman" w:hAnsi="Times New Roman" w:cs="Times New Roman"/>
          <w:lang w:val="en-US"/>
        </w:rPr>
        <w:t>158 (</w:t>
      </w:r>
      <w:r w:rsidR="007110EB" w:rsidRPr="004F2B59">
        <w:rPr>
          <w:rFonts w:ascii="Times New Roman" w:hAnsi="Times New Roman" w:cs="Times New Roman"/>
        </w:rPr>
        <w:t>Ministry of Health and Family Welfare</w:t>
      </w:r>
      <w:r w:rsidR="00ED531A" w:rsidRPr="004F2B59">
        <w:rPr>
          <w:rFonts w:ascii="Times New Roman" w:hAnsi="Times New Roman" w:cs="Times New Roman"/>
          <w:lang w:val="en-US"/>
        </w:rPr>
        <w:t>2015-16)</w:t>
      </w:r>
      <w:r w:rsidR="007110EB" w:rsidRPr="004F2B59">
        <w:rPr>
          <w:rFonts w:ascii="Times New Roman" w:hAnsi="Times New Roman" w:cs="Times New Roman"/>
          <w:lang w:val="en-US"/>
        </w:rPr>
        <w:t>.</w:t>
      </w:r>
    </w:p>
  </w:footnote>
  <w:footnote w:id="55">
    <w:p w:rsidR="002655C6" w:rsidRPr="004F2B59" w:rsidRDefault="002655C6" w:rsidP="002103F0">
      <w:pPr>
        <w:pStyle w:val="FootnoteText"/>
        <w:spacing w:line="220" w:lineRule="exact"/>
        <w:ind w:left="432" w:hanging="432"/>
        <w:jc w:val="both"/>
        <w:rPr>
          <w:rFonts w:ascii="Times New Roman" w:hAnsi="Times New Roman" w:cs="Times New Roman"/>
          <w:i/>
          <w:iCs/>
          <w:lang w:val="en-US"/>
        </w:rPr>
      </w:pPr>
      <w:r w:rsidRPr="004F2B59">
        <w:rPr>
          <w:rStyle w:val="FootnoteReference"/>
          <w:rFonts w:ascii="Times New Roman" w:hAnsi="Times New Roman" w:cs="Times New Roman"/>
          <w:vertAlign w:val="baseline"/>
        </w:rPr>
        <w:footnoteRef/>
      </w:r>
      <w:r w:rsidR="003D6662">
        <w:rPr>
          <w:rFonts w:ascii="Times New Roman" w:hAnsi="Times New Roman" w:cs="Times New Roman"/>
          <w:i/>
          <w:iCs/>
        </w:rPr>
        <w:t xml:space="preserve"> </w:t>
      </w:r>
      <w:r w:rsidR="003D6662">
        <w:rPr>
          <w:rFonts w:ascii="Times New Roman" w:hAnsi="Times New Roman" w:cs="Times New Roman"/>
          <w:i/>
          <w:iCs/>
        </w:rPr>
        <w:tab/>
      </w:r>
      <w:r w:rsidRPr="004F2B59">
        <w:rPr>
          <w:rFonts w:ascii="Times New Roman" w:hAnsi="Times New Roman" w:cs="Times New Roman"/>
          <w:i/>
          <w:iCs/>
        </w:rPr>
        <w:t>I</w:t>
      </w:r>
      <w:r w:rsidR="007110EB" w:rsidRPr="004F2B59">
        <w:rPr>
          <w:rFonts w:ascii="Times New Roman" w:hAnsi="Times New Roman" w:cs="Times New Roman"/>
          <w:i/>
          <w:iCs/>
        </w:rPr>
        <w:t>bi</w:t>
      </w:r>
      <w:r w:rsidRPr="004F2B59">
        <w:rPr>
          <w:rFonts w:ascii="Times New Roman" w:hAnsi="Times New Roman" w:cs="Times New Roman"/>
          <w:i/>
          <w:iCs/>
        </w:rPr>
        <w:t>d.</w:t>
      </w:r>
    </w:p>
  </w:footnote>
  <w:footnote w:id="56">
    <w:p w:rsidR="002655C6" w:rsidRPr="004F2B59" w:rsidRDefault="002655C6" w:rsidP="002103F0">
      <w:pPr>
        <w:pStyle w:val="FootnoteText"/>
        <w:spacing w:line="220" w:lineRule="exact"/>
        <w:ind w:left="432" w:hanging="432"/>
        <w:jc w:val="both"/>
        <w:rPr>
          <w:rFonts w:ascii="Times New Roman" w:hAnsi="Times New Roman" w:cs="Times New Roman"/>
          <w:i/>
          <w:iCs/>
          <w:lang w:val="en-US"/>
        </w:rPr>
      </w:pPr>
      <w:r w:rsidRPr="004F2B59">
        <w:rPr>
          <w:rStyle w:val="FootnoteReference"/>
          <w:rFonts w:ascii="Times New Roman" w:hAnsi="Times New Roman" w:cs="Times New Roman"/>
          <w:vertAlign w:val="baseline"/>
        </w:rPr>
        <w:footnoteRef/>
      </w:r>
      <w:r w:rsidR="003D6662">
        <w:rPr>
          <w:rFonts w:ascii="Times New Roman" w:hAnsi="Times New Roman" w:cs="Times New Roman"/>
          <w:i/>
          <w:iCs/>
        </w:rPr>
        <w:t xml:space="preserve"> </w:t>
      </w:r>
      <w:r w:rsidR="003D6662">
        <w:rPr>
          <w:rFonts w:ascii="Times New Roman" w:hAnsi="Times New Roman" w:cs="Times New Roman"/>
          <w:i/>
          <w:iCs/>
        </w:rPr>
        <w:tab/>
      </w:r>
      <w:r w:rsidRPr="004F2B59">
        <w:rPr>
          <w:rFonts w:ascii="Times New Roman" w:hAnsi="Times New Roman" w:cs="Times New Roman"/>
          <w:i/>
          <w:iCs/>
        </w:rPr>
        <w:t>I</w:t>
      </w:r>
      <w:r w:rsidR="007110EB" w:rsidRPr="004F2B59">
        <w:rPr>
          <w:rFonts w:ascii="Times New Roman" w:hAnsi="Times New Roman" w:cs="Times New Roman"/>
          <w:i/>
          <w:iCs/>
        </w:rPr>
        <w:t>bi</w:t>
      </w:r>
      <w:r w:rsidRPr="004F2B59">
        <w:rPr>
          <w:rFonts w:ascii="Times New Roman" w:hAnsi="Times New Roman" w:cs="Times New Roman"/>
          <w:i/>
          <w:iCs/>
        </w:rPr>
        <w:t>d.</w:t>
      </w:r>
    </w:p>
  </w:footnote>
  <w:footnote w:id="5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D6662">
        <w:rPr>
          <w:rFonts w:ascii="Times New Roman" w:hAnsi="Times New Roman" w:cs="Times New Roman"/>
        </w:rPr>
        <w:t xml:space="preserve"> </w:t>
      </w:r>
      <w:r w:rsidR="003D6662">
        <w:rPr>
          <w:rFonts w:ascii="Times New Roman" w:hAnsi="Times New Roman" w:cs="Times New Roman"/>
        </w:rPr>
        <w:tab/>
      </w:r>
      <w:r w:rsidR="009833B4" w:rsidRPr="004F2B59">
        <w:rPr>
          <w:rFonts w:ascii="Times New Roman" w:hAnsi="Times New Roman" w:cs="Times New Roman"/>
        </w:rPr>
        <w:t xml:space="preserve">Government of India, </w:t>
      </w:r>
      <w:r w:rsidR="007110EB" w:rsidRPr="004F2B59">
        <w:rPr>
          <w:rFonts w:ascii="Times New Roman" w:hAnsi="Times New Roman" w:cs="Times New Roman"/>
        </w:rPr>
        <w:t>“</w:t>
      </w:r>
      <w:r w:rsidRPr="004F2B59">
        <w:rPr>
          <w:rFonts w:ascii="Times New Roman" w:hAnsi="Times New Roman" w:cs="Times New Roman"/>
        </w:rPr>
        <w:t>Youth in India Report</w:t>
      </w:r>
      <w:r w:rsidR="009833B4" w:rsidRPr="004F2B59">
        <w:rPr>
          <w:rFonts w:ascii="Times New Roman" w:hAnsi="Times New Roman" w:cs="Times New Roman"/>
        </w:rPr>
        <w:t>: Situation and Needs</w:t>
      </w:r>
      <w:r w:rsidR="007110EB" w:rsidRPr="004F2B59">
        <w:rPr>
          <w:rFonts w:ascii="Times New Roman" w:hAnsi="Times New Roman" w:cs="Times New Roman"/>
        </w:rPr>
        <w:t>”</w:t>
      </w:r>
      <w:r w:rsidR="0012260C" w:rsidRPr="004F2B59">
        <w:rPr>
          <w:rFonts w:ascii="Times New Roman" w:hAnsi="Times New Roman" w:cs="Times New Roman"/>
        </w:rPr>
        <w:t xml:space="preserve"> 204</w:t>
      </w:r>
      <w:r w:rsidR="007110EB" w:rsidRPr="004F2B59">
        <w:rPr>
          <w:rFonts w:ascii="Times New Roman" w:hAnsi="Times New Roman" w:cs="Times New Roman"/>
        </w:rPr>
        <w:t xml:space="preserve"> (Ministry of Health and Family Welfare 2006-07).</w:t>
      </w:r>
    </w:p>
  </w:footnote>
  <w:footnote w:id="5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D6662">
        <w:rPr>
          <w:rFonts w:ascii="Times New Roman" w:hAnsi="Times New Roman" w:cs="Times New Roman"/>
          <w:i/>
          <w:iCs/>
        </w:rPr>
        <w:t xml:space="preserve"> </w:t>
      </w:r>
      <w:r w:rsidR="003D6662">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w:t>
      </w:r>
      <w:r w:rsidR="00A667B2" w:rsidRPr="004F2B59">
        <w:rPr>
          <w:rFonts w:ascii="Times New Roman" w:hAnsi="Times New Roman" w:cs="Times New Roman"/>
        </w:rPr>
        <w:t xml:space="preserve"> at </w:t>
      </w:r>
      <w:r w:rsidRPr="004F2B59">
        <w:rPr>
          <w:rFonts w:ascii="Times New Roman" w:hAnsi="Times New Roman" w:cs="Times New Roman"/>
        </w:rPr>
        <w:t>205</w:t>
      </w:r>
      <w:r w:rsidR="00A667B2" w:rsidRPr="004F2B59">
        <w:rPr>
          <w:rFonts w:ascii="Times New Roman" w:hAnsi="Times New Roman" w:cs="Times New Roman"/>
        </w:rPr>
        <w:t>-</w:t>
      </w:r>
      <w:r w:rsidRPr="004F2B59">
        <w:rPr>
          <w:rFonts w:ascii="Times New Roman" w:hAnsi="Times New Roman" w:cs="Times New Roman"/>
        </w:rPr>
        <w:t>206.</w:t>
      </w:r>
    </w:p>
  </w:footnote>
  <w:footnote w:id="5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D6662">
        <w:rPr>
          <w:rFonts w:ascii="Times New Roman" w:hAnsi="Times New Roman" w:cs="Times New Roman"/>
          <w:i/>
          <w:iCs/>
        </w:rPr>
        <w:t xml:space="preserve"> </w:t>
      </w:r>
      <w:r w:rsidR="003D6662">
        <w:rPr>
          <w:rFonts w:ascii="Times New Roman" w:hAnsi="Times New Roman" w:cs="Times New Roman"/>
          <w:i/>
          <w:iCs/>
        </w:rPr>
        <w:tab/>
      </w:r>
      <w:r w:rsidRPr="004F2B59">
        <w:rPr>
          <w:rFonts w:ascii="Times New Roman" w:hAnsi="Times New Roman" w:cs="Times New Roman"/>
          <w:i/>
          <w:iCs/>
        </w:rPr>
        <w:t>I</w:t>
      </w:r>
      <w:r w:rsidR="007110EB"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60">
    <w:p w:rsidR="00C7673E" w:rsidRPr="004F2B59" w:rsidRDefault="00C7673E"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CF375B">
        <w:rPr>
          <w:rFonts w:ascii="Times New Roman" w:hAnsi="Times New Roman" w:cs="Times New Roman"/>
        </w:rPr>
        <w:t xml:space="preserve"> </w:t>
      </w:r>
      <w:r w:rsidR="00CF375B">
        <w:rPr>
          <w:rFonts w:ascii="Times New Roman" w:hAnsi="Times New Roman" w:cs="Times New Roman"/>
        </w:rPr>
        <w:tab/>
      </w:r>
      <w:r w:rsidRPr="004F2B59">
        <w:rPr>
          <w:rFonts w:ascii="Times New Roman" w:hAnsi="Times New Roman" w:cs="Times New Roman"/>
        </w:rPr>
        <w:t>Criminal Code of Canada,</w:t>
      </w:r>
      <w:r w:rsidR="00AB4A24" w:rsidRPr="004F2B59">
        <w:rPr>
          <w:rFonts w:ascii="Times New Roman" w:hAnsi="Times New Roman" w:cs="Times New Roman"/>
        </w:rPr>
        <w:t xml:space="preserve"> 1985,</w:t>
      </w:r>
      <w:r w:rsidRPr="004F2B59">
        <w:rPr>
          <w:rFonts w:ascii="Times New Roman" w:hAnsi="Times New Roman" w:cs="Times New Roman"/>
        </w:rPr>
        <w:t xml:space="preserve"> S. 150. a</w:t>
      </w:r>
    </w:p>
  </w:footnote>
  <w:footnote w:id="61">
    <w:p w:rsidR="00C7673E" w:rsidRPr="004F2B59" w:rsidRDefault="00C7673E"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CF375B">
        <w:rPr>
          <w:rFonts w:ascii="Times New Roman" w:hAnsi="Times New Roman" w:cs="Times New Roman"/>
          <w:i/>
          <w:iCs/>
        </w:rPr>
        <w:t xml:space="preserve"> </w:t>
      </w:r>
      <w:r w:rsidR="00CF375B">
        <w:rPr>
          <w:rFonts w:ascii="Times New Roman" w:hAnsi="Times New Roman" w:cs="Times New Roman"/>
          <w:i/>
          <w:iCs/>
        </w:rPr>
        <w:tab/>
      </w:r>
      <w:r w:rsidR="00AB4A24" w:rsidRPr="004F2B59">
        <w:rPr>
          <w:rFonts w:ascii="Times New Roman" w:hAnsi="Times New Roman" w:cs="Times New Roman"/>
          <w:i/>
          <w:iCs/>
        </w:rPr>
        <w:t>Ibid</w:t>
      </w:r>
      <w:r w:rsidRPr="004F2B59">
        <w:rPr>
          <w:rFonts w:ascii="Times New Roman" w:hAnsi="Times New Roman" w:cs="Times New Roman"/>
        </w:rPr>
        <w:t>.</w:t>
      </w:r>
    </w:p>
  </w:footnote>
  <w:footnote w:id="62">
    <w:p w:rsidR="00C7673E" w:rsidRPr="004F2B59" w:rsidRDefault="00C7673E"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CF375B">
        <w:rPr>
          <w:rFonts w:ascii="Times New Roman" w:hAnsi="Times New Roman" w:cs="Times New Roman"/>
          <w:i/>
          <w:iCs/>
        </w:rPr>
        <w:t xml:space="preserve"> </w:t>
      </w:r>
      <w:r w:rsidR="00CF375B">
        <w:rPr>
          <w:rFonts w:ascii="Times New Roman" w:hAnsi="Times New Roman" w:cs="Times New Roman"/>
          <w:i/>
          <w:iCs/>
        </w:rPr>
        <w:tab/>
      </w:r>
      <w:r w:rsidR="00AB4A24" w:rsidRPr="004F2B59">
        <w:rPr>
          <w:rFonts w:ascii="Times New Roman" w:hAnsi="Times New Roman" w:cs="Times New Roman"/>
          <w:i/>
          <w:iCs/>
        </w:rPr>
        <w:t>Ibid</w:t>
      </w:r>
      <w:r w:rsidRPr="004F2B59">
        <w:rPr>
          <w:rFonts w:ascii="Times New Roman" w:hAnsi="Times New Roman" w:cs="Times New Roman"/>
        </w:rPr>
        <w:t>.</w:t>
      </w:r>
    </w:p>
  </w:footnote>
  <w:footnote w:id="63">
    <w:p w:rsidR="00C7673E" w:rsidRPr="004F2B59" w:rsidRDefault="00C7673E"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CF375B">
        <w:rPr>
          <w:rFonts w:ascii="Times New Roman" w:hAnsi="Times New Roman" w:cs="Times New Roman"/>
          <w:i/>
          <w:iCs/>
        </w:rPr>
        <w:t xml:space="preserve"> </w:t>
      </w:r>
      <w:r w:rsidR="00CF375B">
        <w:rPr>
          <w:rFonts w:ascii="Times New Roman" w:hAnsi="Times New Roman" w:cs="Times New Roman"/>
          <w:i/>
          <w:iCs/>
        </w:rPr>
        <w:tab/>
      </w:r>
      <w:r w:rsidRPr="004F2B59">
        <w:rPr>
          <w:rFonts w:ascii="Times New Roman" w:hAnsi="Times New Roman" w:cs="Times New Roman"/>
          <w:i/>
          <w:iCs/>
        </w:rPr>
        <w:t>I</w:t>
      </w:r>
      <w:r w:rsidR="00AB4A24" w:rsidRPr="004F2B59">
        <w:rPr>
          <w:rFonts w:ascii="Times New Roman" w:hAnsi="Times New Roman" w:cs="Times New Roman"/>
          <w:i/>
          <w:iCs/>
        </w:rPr>
        <w:t>bi</w:t>
      </w:r>
      <w:r w:rsidRPr="004F2B59">
        <w:rPr>
          <w:rFonts w:ascii="Times New Roman" w:hAnsi="Times New Roman" w:cs="Times New Roman"/>
          <w:i/>
          <w:iCs/>
        </w:rPr>
        <w:t>d.</w:t>
      </w:r>
    </w:p>
  </w:footnote>
  <w:footnote w:id="64">
    <w:p w:rsidR="004447B5" w:rsidRPr="004F2B59" w:rsidRDefault="004447B5"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806217">
        <w:rPr>
          <w:rFonts w:ascii="Times New Roman" w:hAnsi="Times New Roman" w:cs="Times New Roman"/>
        </w:rPr>
        <w:t xml:space="preserve"> </w:t>
      </w:r>
      <w:r w:rsidR="00806217">
        <w:rPr>
          <w:rFonts w:ascii="Times New Roman" w:hAnsi="Times New Roman" w:cs="Times New Roman"/>
        </w:rPr>
        <w:tab/>
      </w:r>
      <w:r w:rsidRPr="004F2B59">
        <w:rPr>
          <w:rFonts w:ascii="Times New Roman" w:hAnsi="Times New Roman" w:cs="Times New Roman"/>
        </w:rPr>
        <w:t xml:space="preserve">Partners in Law in Development, </w:t>
      </w:r>
      <w:r w:rsidR="00AB4A24" w:rsidRPr="004F2B59">
        <w:rPr>
          <w:rFonts w:ascii="Times New Roman" w:hAnsi="Times New Roman" w:cs="Times New Roman"/>
        </w:rPr>
        <w:t>“</w:t>
      </w:r>
      <w:r w:rsidRPr="004F2B59">
        <w:rPr>
          <w:rFonts w:ascii="Times New Roman" w:hAnsi="Times New Roman" w:cs="Times New Roman"/>
        </w:rPr>
        <w:t>Why Girls Run Away to Marry: Adolescent Realities and Socio-Legal Responses in India</w:t>
      </w:r>
      <w:r w:rsidR="00AB4A24" w:rsidRPr="004F2B59">
        <w:rPr>
          <w:rFonts w:ascii="Times New Roman" w:hAnsi="Times New Roman" w:cs="Times New Roman"/>
        </w:rPr>
        <w:t>,”</w:t>
      </w:r>
      <w:r w:rsidRPr="004F2B59">
        <w:rPr>
          <w:rFonts w:ascii="Times New Roman" w:hAnsi="Times New Roman" w:cs="Times New Roman"/>
        </w:rPr>
        <w:t xml:space="preserve"> 74</w:t>
      </w:r>
      <w:r w:rsidR="00AB4A24" w:rsidRPr="004F2B59">
        <w:rPr>
          <w:rFonts w:ascii="Times New Roman" w:hAnsi="Times New Roman" w:cs="Times New Roman"/>
        </w:rPr>
        <w:t xml:space="preserve"> (2019) </w:t>
      </w:r>
      <w:r w:rsidR="00AB4A24" w:rsidRPr="004F2B59">
        <w:rPr>
          <w:rFonts w:ascii="Times New Roman" w:hAnsi="Times New Roman" w:cs="Times New Roman"/>
          <w:i/>
          <w:iCs/>
        </w:rPr>
        <w:t xml:space="preserve">available at </w:t>
      </w:r>
      <w:hyperlink r:id="rId2" w:history="1">
        <w:r w:rsidR="00AB4A24" w:rsidRPr="004F2B59">
          <w:rPr>
            <w:rStyle w:val="Hyperlink"/>
            <w:rFonts w:ascii="Times New Roman" w:hAnsi="Times New Roman" w:cs="Times New Roman"/>
            <w:i/>
            <w:iCs/>
          </w:rPr>
          <w:t>https://vmml-cwds.ac.in/sites/default/files/2024-05/Why_Girls_Run_Away_to_Marry_Adolescent.pdf</w:t>
        </w:r>
      </w:hyperlink>
      <w:r w:rsidR="00AB4A24" w:rsidRPr="004F2B59">
        <w:rPr>
          <w:rFonts w:ascii="Times New Roman" w:hAnsi="Times New Roman" w:cs="Times New Roman"/>
        </w:rPr>
        <w:t>(Last visited on August 20th 2024).</w:t>
      </w:r>
    </w:p>
  </w:footnote>
  <w:footnote w:id="65">
    <w:p w:rsidR="004447B5" w:rsidRPr="004F2B59" w:rsidRDefault="004447B5"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806217">
        <w:rPr>
          <w:rFonts w:ascii="Times New Roman" w:hAnsi="Times New Roman" w:cs="Times New Roman"/>
          <w:i/>
          <w:iCs/>
        </w:rPr>
        <w:t xml:space="preserve"> </w:t>
      </w:r>
      <w:r w:rsidR="00806217">
        <w:rPr>
          <w:rFonts w:ascii="Times New Roman" w:hAnsi="Times New Roman" w:cs="Times New Roman"/>
          <w:i/>
          <w:iCs/>
        </w:rPr>
        <w:tab/>
      </w:r>
      <w:r w:rsidR="00AB4A24" w:rsidRPr="004F2B59">
        <w:rPr>
          <w:rFonts w:ascii="Times New Roman" w:hAnsi="Times New Roman" w:cs="Times New Roman"/>
          <w:i/>
          <w:iCs/>
        </w:rPr>
        <w:t xml:space="preserve">Supra </w:t>
      </w:r>
      <w:r w:rsidR="00AB4A24" w:rsidRPr="004F2B59">
        <w:rPr>
          <w:rFonts w:ascii="Times New Roman" w:hAnsi="Times New Roman" w:cs="Times New Roman"/>
        </w:rPr>
        <w:t xml:space="preserve">note 7 at art. </w:t>
      </w:r>
      <w:r w:rsidRPr="004F2B59">
        <w:rPr>
          <w:rFonts w:ascii="Times New Roman" w:hAnsi="Times New Roman" w:cs="Times New Roman"/>
        </w:rPr>
        <w:t>3</w:t>
      </w:r>
      <w:r w:rsidR="00AB4A24" w:rsidRPr="004F2B59">
        <w:rPr>
          <w:rFonts w:ascii="Times New Roman" w:hAnsi="Times New Roman" w:cs="Times New Roman"/>
        </w:rPr>
        <w:t>.</w:t>
      </w:r>
    </w:p>
  </w:footnote>
  <w:footnote w:id="66">
    <w:p w:rsidR="004447B5" w:rsidRPr="004F2B59" w:rsidRDefault="004447B5"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806217">
        <w:rPr>
          <w:rFonts w:ascii="Times New Roman" w:hAnsi="Times New Roman" w:cs="Times New Roman"/>
          <w:i/>
          <w:iCs/>
        </w:rPr>
        <w:t xml:space="preserve"> </w:t>
      </w:r>
      <w:r w:rsidR="00806217">
        <w:rPr>
          <w:rFonts w:ascii="Times New Roman" w:hAnsi="Times New Roman" w:cs="Times New Roman"/>
          <w:i/>
          <w:iCs/>
        </w:rPr>
        <w:tab/>
      </w:r>
      <w:r w:rsidR="00AB4A24" w:rsidRPr="004F2B59">
        <w:rPr>
          <w:rFonts w:ascii="Times New Roman" w:hAnsi="Times New Roman" w:cs="Times New Roman"/>
          <w:i/>
          <w:iCs/>
        </w:rPr>
        <w:t xml:space="preserve">Id., </w:t>
      </w:r>
      <w:r w:rsidR="00AB4A24" w:rsidRPr="004F2B59">
        <w:rPr>
          <w:rFonts w:ascii="Times New Roman" w:hAnsi="Times New Roman" w:cs="Times New Roman"/>
        </w:rPr>
        <w:t>at art.</w:t>
      </w:r>
      <w:r w:rsidRPr="004F2B59">
        <w:rPr>
          <w:rFonts w:ascii="Times New Roman" w:hAnsi="Times New Roman" w:cs="Times New Roman"/>
        </w:rPr>
        <w:t xml:space="preserve"> 5</w:t>
      </w:r>
      <w:r w:rsidR="00AB4A24" w:rsidRPr="004F2B59">
        <w:rPr>
          <w:rFonts w:ascii="Times New Roman" w:hAnsi="Times New Roman" w:cs="Times New Roman"/>
        </w:rPr>
        <w:t>.</w:t>
      </w:r>
    </w:p>
  </w:footnote>
  <w:footnote w:id="67">
    <w:p w:rsidR="004447B5" w:rsidRPr="004F2B59" w:rsidRDefault="004447B5"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806217">
        <w:rPr>
          <w:rFonts w:ascii="Times New Roman" w:hAnsi="Times New Roman" w:cs="Times New Roman"/>
        </w:rPr>
        <w:t xml:space="preserve"> </w:t>
      </w:r>
      <w:r w:rsidR="00806217">
        <w:rPr>
          <w:rFonts w:ascii="Times New Roman" w:hAnsi="Times New Roman" w:cs="Times New Roman"/>
        </w:rPr>
        <w:tab/>
      </w:r>
      <w:r w:rsidR="00745BDA" w:rsidRPr="004F2B59">
        <w:rPr>
          <w:rFonts w:ascii="Times New Roman" w:hAnsi="Times New Roman" w:cs="Times New Roman"/>
        </w:rPr>
        <w:t xml:space="preserve">United Nations Convention on the Rights of the Child, </w:t>
      </w:r>
      <w:r w:rsidRPr="004F2B59">
        <w:rPr>
          <w:rFonts w:ascii="Times New Roman" w:hAnsi="Times New Roman" w:cs="Times New Roman"/>
        </w:rPr>
        <w:t xml:space="preserve">Committee on the Rights of the Child, </w:t>
      </w:r>
      <w:r w:rsidRPr="004F2B59">
        <w:rPr>
          <w:rFonts w:ascii="Times New Roman" w:hAnsi="Times New Roman" w:cs="Times New Roman"/>
          <w:i/>
          <w:iCs/>
        </w:rPr>
        <w:t>General Comment No.20 (2016) on the Implementation of the Rights of the Child during Adolescence,</w:t>
      </w:r>
      <w:r w:rsidR="00AB4A24" w:rsidRPr="004F2B59">
        <w:rPr>
          <w:rFonts w:ascii="Times New Roman" w:hAnsi="Times New Roman" w:cs="Times New Roman"/>
        </w:rPr>
        <w:t xml:space="preserve"> UN Doc</w:t>
      </w:r>
      <w:r w:rsidR="00745BDA" w:rsidRPr="004F2B59">
        <w:rPr>
          <w:rFonts w:ascii="Times New Roman" w:hAnsi="Times New Roman" w:cs="Times New Roman"/>
        </w:rPr>
        <w:t>. CRC/C/GC/20.</w:t>
      </w:r>
    </w:p>
  </w:footnote>
  <w:footnote w:id="6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806217">
        <w:rPr>
          <w:rFonts w:ascii="Times New Roman" w:hAnsi="Times New Roman" w:cs="Times New Roman"/>
        </w:rPr>
        <w:t xml:space="preserve"> </w:t>
      </w:r>
      <w:r w:rsidR="00806217">
        <w:rPr>
          <w:rFonts w:ascii="Times New Roman" w:hAnsi="Times New Roman" w:cs="Times New Roman"/>
        </w:rPr>
        <w:tab/>
      </w:r>
      <w:r w:rsidR="00D67AEA" w:rsidRPr="004F2B59">
        <w:rPr>
          <w:rFonts w:ascii="Times New Roman" w:hAnsi="Times New Roman" w:cs="Times New Roman"/>
        </w:rPr>
        <w:t>S</w:t>
      </w:r>
      <w:r w:rsidR="00CF640B" w:rsidRPr="004F2B59">
        <w:rPr>
          <w:rFonts w:ascii="Times New Roman" w:hAnsi="Times New Roman" w:cs="Times New Roman"/>
          <w:i/>
          <w:iCs/>
        </w:rPr>
        <w:t>upra</w:t>
      </w:r>
      <w:r w:rsidR="00CF640B" w:rsidRPr="004F2B59">
        <w:rPr>
          <w:rFonts w:ascii="Times New Roman" w:hAnsi="Times New Roman" w:cs="Times New Roman"/>
        </w:rPr>
        <w:t xml:space="preserve"> note </w:t>
      </w:r>
      <w:r w:rsidR="00745BDA" w:rsidRPr="004F2B59">
        <w:rPr>
          <w:rFonts w:ascii="Times New Roman" w:hAnsi="Times New Roman" w:cs="Times New Roman"/>
        </w:rPr>
        <w:t>11</w:t>
      </w:r>
      <w:r w:rsidR="00CF640B" w:rsidRPr="004F2B59">
        <w:rPr>
          <w:rFonts w:ascii="Times New Roman" w:hAnsi="Times New Roman" w:cs="Times New Roman"/>
        </w:rPr>
        <w:t xml:space="preserve"> at</w:t>
      </w:r>
      <w:r w:rsidRPr="004F2B59">
        <w:rPr>
          <w:rFonts w:ascii="Times New Roman" w:hAnsi="Times New Roman" w:cs="Times New Roman"/>
        </w:rPr>
        <w:t>133.</w:t>
      </w:r>
    </w:p>
  </w:footnote>
  <w:footnote w:id="6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73378">
        <w:rPr>
          <w:rFonts w:ascii="Times New Roman" w:hAnsi="Times New Roman" w:cs="Times New Roman"/>
          <w:i/>
          <w:iCs/>
        </w:rPr>
        <w:t xml:space="preserve"> </w:t>
      </w:r>
      <w:r w:rsidR="00773378">
        <w:rPr>
          <w:rFonts w:ascii="Times New Roman" w:hAnsi="Times New Roman" w:cs="Times New Roman"/>
          <w:i/>
          <w:iCs/>
        </w:rPr>
        <w:tab/>
      </w:r>
      <w:r w:rsidR="00B96A8D" w:rsidRPr="004F2B59">
        <w:rPr>
          <w:rFonts w:ascii="Times New Roman" w:hAnsi="Times New Roman" w:cs="Times New Roman"/>
          <w:i/>
          <w:iCs/>
        </w:rPr>
        <w:t>I</w:t>
      </w:r>
      <w:r w:rsidR="00745BDA" w:rsidRPr="004F2B59">
        <w:rPr>
          <w:rFonts w:ascii="Times New Roman" w:hAnsi="Times New Roman" w:cs="Times New Roman"/>
          <w:i/>
          <w:iCs/>
        </w:rPr>
        <w:t>bi</w:t>
      </w:r>
      <w:r w:rsidR="00B96A8D" w:rsidRPr="004F2B59">
        <w:rPr>
          <w:rFonts w:ascii="Times New Roman" w:hAnsi="Times New Roman" w:cs="Times New Roman"/>
          <w:i/>
          <w:iCs/>
        </w:rPr>
        <w:t>d.</w:t>
      </w:r>
    </w:p>
  </w:footnote>
  <w:footnote w:id="7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73378">
        <w:rPr>
          <w:rFonts w:ascii="Times New Roman" w:hAnsi="Times New Roman" w:cs="Times New Roman"/>
          <w:i/>
          <w:iCs/>
        </w:rPr>
        <w:t xml:space="preserve"> </w:t>
      </w:r>
      <w:r w:rsidR="00773378">
        <w:rPr>
          <w:rFonts w:ascii="Times New Roman" w:hAnsi="Times New Roman" w:cs="Times New Roman"/>
          <w:i/>
          <w:iCs/>
        </w:rPr>
        <w:tab/>
      </w:r>
      <w:r w:rsidR="00B96A8D" w:rsidRPr="004F2B59">
        <w:rPr>
          <w:rFonts w:ascii="Times New Roman" w:hAnsi="Times New Roman" w:cs="Times New Roman"/>
          <w:i/>
          <w:iCs/>
        </w:rPr>
        <w:t>I</w:t>
      </w:r>
      <w:r w:rsidR="00745BDA" w:rsidRPr="004F2B59">
        <w:rPr>
          <w:rFonts w:ascii="Times New Roman" w:hAnsi="Times New Roman" w:cs="Times New Roman"/>
          <w:i/>
          <w:iCs/>
        </w:rPr>
        <w:t>bi</w:t>
      </w:r>
      <w:r w:rsidR="00B96A8D" w:rsidRPr="004F2B59">
        <w:rPr>
          <w:rFonts w:ascii="Times New Roman" w:hAnsi="Times New Roman" w:cs="Times New Roman"/>
          <w:i/>
          <w:iCs/>
        </w:rPr>
        <w:t>d.</w:t>
      </w:r>
    </w:p>
  </w:footnote>
  <w:footnote w:id="7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73378">
        <w:rPr>
          <w:rFonts w:ascii="Times New Roman" w:hAnsi="Times New Roman" w:cs="Times New Roman"/>
          <w:i/>
          <w:iCs/>
        </w:rPr>
        <w:t xml:space="preserve"> </w:t>
      </w:r>
      <w:r w:rsidR="00773378">
        <w:rPr>
          <w:rFonts w:ascii="Times New Roman" w:hAnsi="Times New Roman" w:cs="Times New Roman"/>
          <w:i/>
          <w:iCs/>
        </w:rPr>
        <w:tab/>
      </w:r>
      <w:r w:rsidR="00B96A8D" w:rsidRPr="004F2B59">
        <w:rPr>
          <w:rFonts w:ascii="Times New Roman" w:hAnsi="Times New Roman" w:cs="Times New Roman"/>
          <w:i/>
          <w:iCs/>
        </w:rPr>
        <w:t>I</w:t>
      </w:r>
      <w:r w:rsidR="00745BDA" w:rsidRPr="004F2B59">
        <w:rPr>
          <w:rFonts w:ascii="Times New Roman" w:hAnsi="Times New Roman" w:cs="Times New Roman"/>
          <w:i/>
          <w:iCs/>
        </w:rPr>
        <w:t>bi</w:t>
      </w:r>
      <w:r w:rsidR="00B96A8D" w:rsidRPr="004F2B59">
        <w:rPr>
          <w:rFonts w:ascii="Times New Roman" w:hAnsi="Times New Roman" w:cs="Times New Roman"/>
          <w:i/>
          <w:iCs/>
        </w:rPr>
        <w:t>d.</w:t>
      </w:r>
    </w:p>
  </w:footnote>
  <w:footnote w:id="7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73378">
        <w:rPr>
          <w:rFonts w:ascii="Times New Roman" w:hAnsi="Times New Roman" w:cs="Times New Roman"/>
        </w:rPr>
        <w:t xml:space="preserve"> </w:t>
      </w:r>
      <w:r w:rsidR="00773378">
        <w:rPr>
          <w:rFonts w:ascii="Times New Roman" w:hAnsi="Times New Roman" w:cs="Times New Roman"/>
        </w:rPr>
        <w:tab/>
      </w:r>
      <w:r w:rsidR="00CE107E" w:rsidRPr="004F2B59">
        <w:rPr>
          <w:rFonts w:ascii="Times New Roman" w:hAnsi="Times New Roman" w:cs="Times New Roman"/>
        </w:rPr>
        <w:t>HAQ CENTRE FOR CHILD RIGHTS ET ALL</w:t>
      </w:r>
      <w:r w:rsidR="00034DF0" w:rsidRPr="004F2B59">
        <w:rPr>
          <w:rFonts w:ascii="Times New Roman" w:hAnsi="Times New Roman" w:cs="Times New Roman"/>
        </w:rPr>
        <w:t xml:space="preserve">, </w:t>
      </w:r>
      <w:r w:rsidRPr="004F2B59">
        <w:rPr>
          <w:rFonts w:ascii="Times New Roman" w:hAnsi="Times New Roman" w:cs="Times New Roman"/>
          <w:i/>
          <w:iCs/>
        </w:rPr>
        <w:t>Implementation of the POCSO Act: Study of Cases of Special Courts in Delhi &amp; Mumbai</w:t>
      </w:r>
      <w:r w:rsidRPr="004F2B59">
        <w:rPr>
          <w:rFonts w:ascii="Times New Roman" w:hAnsi="Times New Roman" w:cs="Times New Roman"/>
        </w:rPr>
        <w:t xml:space="preserve"> (2012 - 2015)</w:t>
      </w:r>
      <w:r w:rsidR="00D67AEA" w:rsidRPr="004F2B59">
        <w:rPr>
          <w:rFonts w:ascii="Times New Roman" w:hAnsi="Times New Roman" w:cs="Times New Roman"/>
        </w:rPr>
        <w:t>, HAQ: Centre for Child Rights &amp; Forum Against Sexual Exploitation of Children (FACSE) (November 2017)</w:t>
      </w:r>
      <w:r w:rsidR="00034DF0" w:rsidRPr="004F2B59">
        <w:rPr>
          <w:rFonts w:ascii="Times New Roman" w:hAnsi="Times New Roman" w:cs="Times New Roman"/>
        </w:rPr>
        <w:t>.</w:t>
      </w:r>
    </w:p>
  </w:footnote>
  <w:footnote w:id="7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73378">
        <w:rPr>
          <w:rFonts w:ascii="Times New Roman" w:hAnsi="Times New Roman" w:cs="Times New Roman"/>
          <w:i/>
          <w:iCs/>
        </w:rPr>
        <w:t xml:space="preserve"> </w:t>
      </w:r>
      <w:r w:rsidR="00773378">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 at 101.</w:t>
      </w:r>
    </w:p>
  </w:footnote>
  <w:footnote w:id="7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773378">
        <w:rPr>
          <w:rFonts w:ascii="Times New Roman" w:hAnsi="Times New Roman" w:cs="Times New Roman"/>
        </w:rPr>
        <w:t xml:space="preserve"> </w:t>
      </w:r>
      <w:r w:rsidR="00773378">
        <w:rPr>
          <w:rFonts w:ascii="Times New Roman" w:hAnsi="Times New Roman" w:cs="Times New Roman"/>
        </w:rPr>
        <w:tab/>
      </w:r>
      <w:r w:rsidRPr="004F2B59">
        <w:rPr>
          <w:rFonts w:ascii="Times New Roman" w:hAnsi="Times New Roman" w:cs="Times New Roman"/>
        </w:rPr>
        <w:t>SC No. 66/13 decided on 17.08.2013</w:t>
      </w:r>
      <w:r w:rsidR="00CE107E" w:rsidRPr="004F2B59">
        <w:rPr>
          <w:rFonts w:ascii="Times New Roman" w:hAnsi="Times New Roman" w:cs="Times New Roman"/>
        </w:rPr>
        <w:t xml:space="preserve"> (Delhi)</w:t>
      </w:r>
      <w:r w:rsidR="00BB3397" w:rsidRPr="004F2B59">
        <w:rPr>
          <w:rFonts w:ascii="Times New Roman" w:hAnsi="Times New Roman" w:cs="Times New Roman"/>
        </w:rPr>
        <w:t>.</w:t>
      </w:r>
    </w:p>
  </w:footnote>
  <w:footnote w:id="7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544A55">
        <w:rPr>
          <w:rFonts w:ascii="Times New Roman" w:hAnsi="Times New Roman" w:cs="Times New Roman"/>
          <w:i/>
          <w:iCs/>
        </w:rPr>
        <w:t xml:space="preserve"> </w:t>
      </w:r>
      <w:r w:rsidR="00544A55">
        <w:rPr>
          <w:rFonts w:ascii="Times New Roman" w:hAnsi="Times New Roman" w:cs="Times New Roman"/>
          <w:i/>
          <w:iCs/>
        </w:rPr>
        <w:tab/>
      </w:r>
      <w:r w:rsidRPr="004F2B59">
        <w:rPr>
          <w:rFonts w:ascii="Times New Roman" w:hAnsi="Times New Roman" w:cs="Times New Roman"/>
          <w:i/>
          <w:iCs/>
        </w:rPr>
        <w:t>I</w:t>
      </w:r>
      <w:r w:rsidR="00745BDA"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7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544A55">
        <w:rPr>
          <w:rFonts w:ascii="Times New Roman" w:hAnsi="Times New Roman" w:cs="Times New Roman"/>
          <w:i/>
          <w:iCs/>
        </w:rPr>
        <w:t xml:space="preserve"> </w:t>
      </w:r>
      <w:r w:rsidR="00544A55">
        <w:rPr>
          <w:rFonts w:ascii="Times New Roman" w:hAnsi="Times New Roman" w:cs="Times New Roman"/>
          <w:i/>
          <w:iCs/>
        </w:rPr>
        <w:tab/>
      </w:r>
      <w:r w:rsidRPr="004F2B59">
        <w:rPr>
          <w:rFonts w:ascii="Times New Roman" w:hAnsi="Times New Roman" w:cs="Times New Roman"/>
          <w:i/>
          <w:iCs/>
        </w:rPr>
        <w:t>I</w:t>
      </w:r>
      <w:r w:rsidR="00745BDA"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7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544A55">
        <w:rPr>
          <w:rFonts w:ascii="Times New Roman" w:hAnsi="Times New Roman" w:cs="Times New Roman"/>
        </w:rPr>
        <w:t xml:space="preserve"> </w:t>
      </w:r>
      <w:r w:rsidR="00544A55">
        <w:rPr>
          <w:rFonts w:ascii="Times New Roman" w:hAnsi="Times New Roman" w:cs="Times New Roman"/>
        </w:rPr>
        <w:tab/>
      </w:r>
      <w:r w:rsidRPr="004F2B59">
        <w:rPr>
          <w:rFonts w:ascii="Times New Roman" w:hAnsi="Times New Roman" w:cs="Times New Roman"/>
        </w:rPr>
        <w:t>State v. Suman DassCrl L.P. 301/2014 decided by the High Court of Delhi on 03.09.2014.</w:t>
      </w:r>
    </w:p>
  </w:footnote>
  <w:footnote w:id="7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544A55">
        <w:rPr>
          <w:rFonts w:ascii="Times New Roman" w:hAnsi="Times New Roman" w:cs="Times New Roman"/>
        </w:rPr>
        <w:t xml:space="preserve"> </w:t>
      </w:r>
      <w:r w:rsidR="00544A55">
        <w:rPr>
          <w:rFonts w:ascii="Times New Roman" w:hAnsi="Times New Roman" w:cs="Times New Roman"/>
        </w:rPr>
        <w:tab/>
      </w:r>
      <w:r w:rsidRPr="004F2B59">
        <w:rPr>
          <w:rFonts w:ascii="Times New Roman" w:hAnsi="Times New Roman" w:cs="Times New Roman"/>
        </w:rPr>
        <w:t xml:space="preserve">Spl. C. No. 165 of 2015 decided on 28.01.2016 </w:t>
      </w:r>
      <w:r w:rsidR="00CE107E" w:rsidRPr="004F2B59">
        <w:rPr>
          <w:rFonts w:ascii="Times New Roman" w:hAnsi="Times New Roman" w:cs="Times New Roman"/>
        </w:rPr>
        <w:t>(Maharashtra</w:t>
      </w:r>
      <w:r w:rsidRPr="004F2B59">
        <w:rPr>
          <w:rFonts w:ascii="Times New Roman" w:hAnsi="Times New Roman" w:cs="Times New Roman"/>
        </w:rPr>
        <w:t>).</w:t>
      </w:r>
    </w:p>
  </w:footnote>
  <w:footnote w:id="7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544A55">
        <w:rPr>
          <w:rFonts w:ascii="Times New Roman" w:hAnsi="Times New Roman" w:cs="Times New Roman"/>
          <w:i/>
          <w:iCs/>
        </w:rPr>
        <w:t xml:space="preserve"> </w:t>
      </w:r>
      <w:r w:rsidR="00544A55">
        <w:rPr>
          <w:rFonts w:ascii="Times New Roman" w:hAnsi="Times New Roman" w:cs="Times New Roman"/>
          <w:i/>
          <w:iCs/>
        </w:rPr>
        <w:tab/>
      </w:r>
      <w:r w:rsidRPr="004F2B59">
        <w:rPr>
          <w:rFonts w:ascii="Times New Roman" w:hAnsi="Times New Roman" w:cs="Times New Roman"/>
          <w:i/>
          <w:iCs/>
        </w:rPr>
        <w:t>I</w:t>
      </w:r>
      <w:r w:rsidR="00745BDA"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w:t>
      </w:r>
    </w:p>
  </w:footnote>
  <w:footnote w:id="8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263917">
        <w:rPr>
          <w:rFonts w:ascii="Times New Roman" w:hAnsi="Times New Roman" w:cs="Times New Roman"/>
        </w:rPr>
        <w:tab/>
      </w:r>
      <w:r w:rsidRPr="004F2B59">
        <w:rPr>
          <w:rFonts w:ascii="Times New Roman" w:hAnsi="Times New Roman" w:cs="Times New Roman"/>
        </w:rPr>
        <w:t>SC No. 25/15 decided on 25.04.2016 (</w:t>
      </w:r>
      <w:r w:rsidR="00CE107E" w:rsidRPr="004F2B59">
        <w:rPr>
          <w:rFonts w:ascii="Times New Roman" w:hAnsi="Times New Roman" w:cs="Times New Roman"/>
        </w:rPr>
        <w:t>Maharashtra</w:t>
      </w:r>
      <w:r w:rsidRPr="004F2B59">
        <w:rPr>
          <w:rFonts w:ascii="Times New Roman" w:hAnsi="Times New Roman" w:cs="Times New Roman"/>
        </w:rPr>
        <w:t>).</w:t>
      </w:r>
    </w:p>
  </w:footnote>
  <w:footnote w:id="8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263917">
        <w:rPr>
          <w:rFonts w:ascii="Times New Roman" w:hAnsi="Times New Roman" w:cs="Times New Roman"/>
        </w:rPr>
        <w:t xml:space="preserve"> </w:t>
      </w:r>
      <w:r w:rsidR="00263917">
        <w:rPr>
          <w:rFonts w:ascii="Times New Roman" w:hAnsi="Times New Roman" w:cs="Times New Roman"/>
        </w:rPr>
        <w:tab/>
      </w:r>
      <w:r w:rsidRPr="004F2B59">
        <w:rPr>
          <w:rFonts w:ascii="Times New Roman" w:hAnsi="Times New Roman" w:cs="Times New Roman"/>
        </w:rPr>
        <w:t>SC No. 302/15 decided on 20.10.2016 (</w:t>
      </w:r>
      <w:r w:rsidR="00CE107E" w:rsidRPr="004F2B59">
        <w:rPr>
          <w:rFonts w:ascii="Times New Roman" w:hAnsi="Times New Roman" w:cs="Times New Roman"/>
        </w:rPr>
        <w:t>Maharashtra</w:t>
      </w:r>
      <w:r w:rsidRPr="004F2B59">
        <w:rPr>
          <w:rFonts w:ascii="Times New Roman" w:hAnsi="Times New Roman" w:cs="Times New Roman"/>
        </w:rPr>
        <w:t>).</w:t>
      </w:r>
    </w:p>
  </w:footnote>
  <w:footnote w:id="8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263917">
        <w:rPr>
          <w:rFonts w:ascii="Times New Roman" w:hAnsi="Times New Roman" w:cs="Times New Roman"/>
        </w:rPr>
        <w:t xml:space="preserve"> </w:t>
      </w:r>
      <w:r w:rsidR="00263917">
        <w:rPr>
          <w:rFonts w:ascii="Times New Roman" w:hAnsi="Times New Roman" w:cs="Times New Roman"/>
        </w:rPr>
        <w:tab/>
      </w:r>
      <w:r w:rsidRPr="004F2B59">
        <w:rPr>
          <w:rFonts w:ascii="Times New Roman" w:hAnsi="Times New Roman" w:cs="Times New Roman"/>
        </w:rPr>
        <w:t>Special (POCSO) Case No. 50/15 decided on 22.06.2016</w:t>
      </w:r>
      <w:r w:rsidR="00CE107E" w:rsidRPr="004F2B59">
        <w:rPr>
          <w:rFonts w:ascii="Times New Roman" w:hAnsi="Times New Roman" w:cs="Times New Roman"/>
        </w:rPr>
        <w:t xml:space="preserve"> (Assam)</w:t>
      </w:r>
      <w:r w:rsidRPr="004F2B59">
        <w:rPr>
          <w:rFonts w:ascii="Times New Roman" w:hAnsi="Times New Roman" w:cs="Times New Roman"/>
        </w:rPr>
        <w:t>.</w:t>
      </w:r>
    </w:p>
  </w:footnote>
  <w:footnote w:id="8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263917">
        <w:rPr>
          <w:rFonts w:ascii="Times New Roman" w:hAnsi="Times New Roman" w:cs="Times New Roman"/>
        </w:rPr>
        <w:t xml:space="preserve"> </w:t>
      </w:r>
      <w:r w:rsidR="00263917">
        <w:rPr>
          <w:rFonts w:ascii="Times New Roman" w:hAnsi="Times New Roman" w:cs="Times New Roman"/>
        </w:rPr>
        <w:tab/>
      </w:r>
      <w:r w:rsidRPr="004F2B59">
        <w:rPr>
          <w:rFonts w:ascii="Times New Roman" w:hAnsi="Times New Roman" w:cs="Times New Roman"/>
        </w:rPr>
        <w:t>POCSO Case No. 48/15 decided on 16.02.2016</w:t>
      </w:r>
      <w:r w:rsidR="00CE107E" w:rsidRPr="004F2B59">
        <w:rPr>
          <w:rFonts w:ascii="Times New Roman" w:hAnsi="Times New Roman" w:cs="Times New Roman"/>
        </w:rPr>
        <w:t xml:space="preserve"> (Assam).</w:t>
      </w:r>
    </w:p>
  </w:footnote>
  <w:footnote w:id="8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263917">
        <w:rPr>
          <w:rFonts w:ascii="Times New Roman" w:hAnsi="Times New Roman" w:cs="Times New Roman"/>
        </w:rPr>
        <w:t xml:space="preserve"> </w:t>
      </w:r>
      <w:r w:rsidR="00263917">
        <w:rPr>
          <w:rFonts w:ascii="Times New Roman" w:hAnsi="Times New Roman" w:cs="Times New Roman"/>
        </w:rPr>
        <w:tab/>
      </w:r>
      <w:r w:rsidRPr="004F2B59">
        <w:rPr>
          <w:rFonts w:ascii="Times New Roman" w:hAnsi="Times New Roman" w:cs="Times New Roman"/>
        </w:rPr>
        <w:t>SC No. 113/13 decided on 31.07.2014 (Delhi).</w:t>
      </w:r>
    </w:p>
  </w:footnote>
  <w:footnote w:id="8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223F3">
        <w:rPr>
          <w:rFonts w:ascii="Times New Roman" w:hAnsi="Times New Roman" w:cs="Times New Roman"/>
          <w:i/>
          <w:iCs/>
        </w:rPr>
        <w:t xml:space="preserve"> </w:t>
      </w:r>
      <w:r w:rsidR="007223F3">
        <w:rPr>
          <w:rFonts w:ascii="Times New Roman" w:hAnsi="Times New Roman" w:cs="Times New Roman"/>
          <w:i/>
          <w:iCs/>
        </w:rPr>
        <w:tab/>
      </w:r>
      <w:r w:rsidR="00414172" w:rsidRPr="004F2B59">
        <w:rPr>
          <w:rFonts w:ascii="Times New Roman" w:hAnsi="Times New Roman" w:cs="Times New Roman"/>
          <w:i/>
          <w:iCs/>
        </w:rPr>
        <w:t>S</w:t>
      </w:r>
      <w:r w:rsidR="00CF640B" w:rsidRPr="004F2B59">
        <w:rPr>
          <w:rFonts w:ascii="Times New Roman" w:hAnsi="Times New Roman" w:cs="Times New Roman"/>
          <w:i/>
          <w:iCs/>
        </w:rPr>
        <w:t>upra</w:t>
      </w:r>
      <w:r w:rsidR="00CF640B" w:rsidRPr="004F2B59">
        <w:rPr>
          <w:rFonts w:ascii="Times New Roman" w:hAnsi="Times New Roman" w:cs="Times New Roman"/>
        </w:rPr>
        <w:t xml:space="preserve"> note </w:t>
      </w:r>
      <w:r w:rsidR="00745BDA" w:rsidRPr="004F2B59">
        <w:rPr>
          <w:rFonts w:ascii="Times New Roman" w:hAnsi="Times New Roman" w:cs="Times New Roman"/>
        </w:rPr>
        <w:t>11</w:t>
      </w:r>
      <w:r w:rsidR="00CF640B" w:rsidRPr="004F2B59">
        <w:rPr>
          <w:rFonts w:ascii="Times New Roman" w:hAnsi="Times New Roman" w:cs="Times New Roman"/>
        </w:rPr>
        <w:t xml:space="preserve"> at</w:t>
      </w:r>
      <w:r w:rsidRPr="004F2B59">
        <w:rPr>
          <w:rFonts w:ascii="Times New Roman" w:hAnsi="Times New Roman" w:cs="Times New Roman"/>
        </w:rPr>
        <w:t xml:space="preserve"> 135.</w:t>
      </w:r>
    </w:p>
  </w:footnote>
  <w:footnote w:id="8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7223F3">
        <w:rPr>
          <w:rFonts w:ascii="Times New Roman" w:hAnsi="Times New Roman" w:cs="Times New Roman"/>
        </w:rPr>
        <w:t xml:space="preserve"> </w:t>
      </w:r>
      <w:r w:rsidR="007223F3">
        <w:rPr>
          <w:rFonts w:ascii="Times New Roman" w:hAnsi="Times New Roman" w:cs="Times New Roman"/>
        </w:rPr>
        <w:tab/>
      </w:r>
      <w:r w:rsidRPr="004F2B59">
        <w:rPr>
          <w:rFonts w:ascii="Times New Roman" w:hAnsi="Times New Roman" w:cs="Times New Roman"/>
        </w:rPr>
        <w:t>State v. Indla Venkatesh &amp; Ors. S.C. No. 57/2015, decided on 04.10.2016 (Guntur).</w:t>
      </w:r>
    </w:p>
  </w:footnote>
  <w:footnote w:id="8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7223F3">
        <w:rPr>
          <w:rFonts w:ascii="Times New Roman" w:hAnsi="Times New Roman" w:cs="Times New Roman"/>
        </w:rPr>
        <w:t xml:space="preserve"> </w:t>
      </w:r>
      <w:r w:rsidR="007223F3">
        <w:rPr>
          <w:rFonts w:ascii="Times New Roman" w:hAnsi="Times New Roman" w:cs="Times New Roman"/>
        </w:rPr>
        <w:tab/>
      </w:r>
      <w:r w:rsidRPr="004F2B59">
        <w:rPr>
          <w:rFonts w:ascii="Times New Roman" w:hAnsi="Times New Roman" w:cs="Times New Roman"/>
        </w:rPr>
        <w:t>State v. Rajendra Bhaskar Bagul, Sessions Case No. 24 of 2015, decided on 28.01.2016 (Nashik)</w:t>
      </w:r>
    </w:p>
  </w:footnote>
  <w:footnote w:id="88">
    <w:p w:rsidR="00600DBA" w:rsidRPr="004F2B59" w:rsidRDefault="00600DBA"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7223F3">
        <w:rPr>
          <w:rFonts w:ascii="Times New Roman" w:hAnsi="Times New Roman" w:cs="Times New Roman"/>
        </w:rPr>
        <w:t xml:space="preserve"> </w:t>
      </w:r>
      <w:r w:rsidR="007223F3">
        <w:rPr>
          <w:rFonts w:ascii="Times New Roman" w:hAnsi="Times New Roman" w:cs="Times New Roman"/>
        </w:rPr>
        <w:tab/>
      </w:r>
      <w:r w:rsidR="009C38D5" w:rsidRPr="004F2B59">
        <w:rPr>
          <w:rFonts w:ascii="Times New Roman" w:hAnsi="Times New Roman" w:cs="Times New Roman"/>
        </w:rPr>
        <w:t>XX v. State of Kerala, CRL.MC NO. 714 OF 2022.</w:t>
      </w:r>
    </w:p>
  </w:footnote>
  <w:footnote w:id="89">
    <w:p w:rsidR="00571545" w:rsidRPr="004F2B59" w:rsidRDefault="00571545"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A01D6">
        <w:rPr>
          <w:rFonts w:ascii="Times New Roman" w:hAnsi="Times New Roman" w:cs="Times New Roman"/>
        </w:rPr>
        <w:t xml:space="preserve"> </w:t>
      </w:r>
      <w:r w:rsidR="003A01D6">
        <w:rPr>
          <w:rFonts w:ascii="Times New Roman" w:hAnsi="Times New Roman" w:cs="Times New Roman"/>
        </w:rPr>
        <w:tab/>
      </w:r>
      <w:r w:rsidR="009C38D5" w:rsidRPr="004F2B59">
        <w:rPr>
          <w:rFonts w:ascii="Times New Roman" w:hAnsi="Times New Roman" w:cs="Times New Roman"/>
        </w:rPr>
        <w:t>State of Kerala v. XX, BAIL APPL. NO. 5168 OF 2024.</w:t>
      </w:r>
    </w:p>
  </w:footnote>
  <w:footnote w:id="90">
    <w:p w:rsidR="00986A85" w:rsidRPr="004F2B59" w:rsidRDefault="00986A85" w:rsidP="002103F0">
      <w:pPr>
        <w:pStyle w:val="FootnoteText"/>
        <w:spacing w:line="220" w:lineRule="exact"/>
        <w:ind w:left="432" w:hanging="432"/>
        <w:jc w:val="both"/>
        <w:rPr>
          <w:rFonts w:ascii="Times New Roman" w:hAnsi="Times New Roman" w:cs="Times New Roman"/>
          <w:i/>
          <w:iCs/>
        </w:rPr>
      </w:pPr>
      <w:r w:rsidRPr="004F2B59">
        <w:rPr>
          <w:rStyle w:val="FootnoteReference"/>
          <w:rFonts w:ascii="Times New Roman" w:hAnsi="Times New Roman" w:cs="Times New Roman"/>
          <w:vertAlign w:val="baseline"/>
        </w:rPr>
        <w:footnoteRef/>
      </w:r>
      <w:r w:rsidR="003A01D6">
        <w:rPr>
          <w:rFonts w:ascii="Times New Roman" w:hAnsi="Times New Roman" w:cs="Times New Roman"/>
          <w:i/>
          <w:iCs/>
        </w:rPr>
        <w:t xml:space="preserve">  </w:t>
      </w:r>
      <w:r w:rsidR="003A01D6">
        <w:rPr>
          <w:rFonts w:ascii="Times New Roman" w:hAnsi="Times New Roman" w:cs="Times New Roman"/>
          <w:i/>
          <w:iCs/>
        </w:rPr>
        <w:tab/>
      </w:r>
      <w:r w:rsidRPr="004F2B59">
        <w:rPr>
          <w:rFonts w:ascii="Times New Roman" w:hAnsi="Times New Roman" w:cs="Times New Roman"/>
          <w:i/>
          <w:iCs/>
        </w:rPr>
        <w:t>I</w:t>
      </w:r>
      <w:r w:rsidR="00745BDA" w:rsidRPr="004F2B59">
        <w:rPr>
          <w:rFonts w:ascii="Times New Roman" w:hAnsi="Times New Roman" w:cs="Times New Roman"/>
          <w:i/>
          <w:iCs/>
        </w:rPr>
        <w:t>bi</w:t>
      </w:r>
      <w:r w:rsidRPr="004F2B59">
        <w:rPr>
          <w:rFonts w:ascii="Times New Roman" w:hAnsi="Times New Roman" w:cs="Times New Roman"/>
          <w:i/>
          <w:iCs/>
        </w:rPr>
        <w:t>d.</w:t>
      </w:r>
    </w:p>
  </w:footnote>
  <w:footnote w:id="91">
    <w:p w:rsidR="00986A85" w:rsidRPr="004F2B59" w:rsidRDefault="00986A85"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3A01D6">
        <w:rPr>
          <w:rFonts w:ascii="Times New Roman" w:hAnsi="Times New Roman" w:cs="Times New Roman"/>
        </w:rPr>
        <w:t xml:space="preserve"> </w:t>
      </w:r>
      <w:r w:rsidR="003A01D6">
        <w:rPr>
          <w:rFonts w:ascii="Times New Roman" w:hAnsi="Times New Roman" w:cs="Times New Roman"/>
        </w:rPr>
        <w:tab/>
      </w:r>
      <w:r w:rsidRPr="004F2B59">
        <w:rPr>
          <w:rFonts w:ascii="Times New Roman" w:hAnsi="Times New Roman" w:cs="Times New Roman"/>
        </w:rPr>
        <w:t>CRIMINAL MISC. BAIL APPLICATION No. - 18596 of 2024.</w:t>
      </w:r>
    </w:p>
  </w:footnote>
  <w:footnote w:id="92">
    <w:p w:rsidR="00986A85" w:rsidRPr="004F2B59" w:rsidRDefault="00986A85"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A01D6">
        <w:rPr>
          <w:rFonts w:ascii="Times New Roman" w:hAnsi="Times New Roman" w:cs="Times New Roman"/>
          <w:i/>
          <w:iCs/>
        </w:rPr>
        <w:t xml:space="preserve"> </w:t>
      </w:r>
      <w:r w:rsidR="003A01D6">
        <w:rPr>
          <w:rFonts w:ascii="Times New Roman" w:hAnsi="Times New Roman" w:cs="Times New Roman"/>
          <w:i/>
          <w:iCs/>
        </w:rPr>
        <w:tab/>
      </w:r>
      <w:r w:rsidRPr="004F2B59">
        <w:rPr>
          <w:rFonts w:ascii="Times New Roman" w:hAnsi="Times New Roman" w:cs="Times New Roman"/>
          <w:i/>
          <w:iCs/>
        </w:rPr>
        <w:t xml:space="preserve">Id., </w:t>
      </w:r>
      <w:r w:rsidRPr="004F2B59">
        <w:rPr>
          <w:rFonts w:ascii="Times New Roman" w:hAnsi="Times New Roman" w:cs="Times New Roman"/>
        </w:rPr>
        <w:t>at para 15.</w:t>
      </w:r>
    </w:p>
  </w:footnote>
  <w:footnote w:id="93">
    <w:p w:rsidR="00730173" w:rsidRPr="004F2B59" w:rsidRDefault="00730173"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2315F">
        <w:rPr>
          <w:rFonts w:ascii="Times New Roman" w:hAnsi="Times New Roman" w:cs="Times New Roman"/>
          <w:i/>
          <w:iCs/>
        </w:rPr>
        <w:t xml:space="preserve"> </w:t>
      </w:r>
      <w:r w:rsidR="0032315F">
        <w:rPr>
          <w:rFonts w:ascii="Times New Roman" w:hAnsi="Times New Roman" w:cs="Times New Roman"/>
          <w:i/>
          <w:iCs/>
        </w:rPr>
        <w:tab/>
      </w:r>
      <w:r w:rsidRPr="004F2B59">
        <w:rPr>
          <w:rFonts w:ascii="Times New Roman" w:hAnsi="Times New Roman" w:cs="Times New Roman"/>
          <w:i/>
          <w:iCs/>
        </w:rPr>
        <w:t xml:space="preserve">Id., </w:t>
      </w:r>
      <w:r w:rsidRPr="004F2B59">
        <w:rPr>
          <w:rFonts w:ascii="Times New Roman" w:hAnsi="Times New Roman" w:cs="Times New Roman"/>
        </w:rPr>
        <w:t>at para 14.</w:t>
      </w:r>
    </w:p>
  </w:footnote>
  <w:footnote w:id="9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2315F">
        <w:rPr>
          <w:rFonts w:ascii="Times New Roman" w:hAnsi="Times New Roman" w:cs="Times New Roman"/>
        </w:rPr>
        <w:t xml:space="preserve"> </w:t>
      </w:r>
      <w:r w:rsidR="0032315F">
        <w:rPr>
          <w:rFonts w:ascii="Times New Roman" w:hAnsi="Times New Roman" w:cs="Times New Roman"/>
        </w:rPr>
        <w:tab/>
      </w:r>
      <w:r w:rsidR="00414172" w:rsidRPr="004F2B59">
        <w:rPr>
          <w:rFonts w:ascii="Times New Roman" w:hAnsi="Times New Roman" w:cs="Times New Roman"/>
        </w:rPr>
        <w:t>S</w:t>
      </w:r>
      <w:r w:rsidR="00CF640B" w:rsidRPr="004F2B59">
        <w:rPr>
          <w:rFonts w:ascii="Times New Roman" w:hAnsi="Times New Roman" w:cs="Times New Roman"/>
          <w:i/>
          <w:iCs/>
        </w:rPr>
        <w:t>upra</w:t>
      </w:r>
      <w:r w:rsidR="00414172" w:rsidRPr="004F2B59">
        <w:rPr>
          <w:rFonts w:ascii="Times New Roman" w:hAnsi="Times New Roman" w:cs="Times New Roman"/>
          <w:i/>
          <w:iCs/>
        </w:rPr>
        <w:t>,</w:t>
      </w:r>
      <w:r w:rsidR="00CF640B" w:rsidRPr="004F2B59">
        <w:rPr>
          <w:rFonts w:ascii="Times New Roman" w:hAnsi="Times New Roman" w:cs="Times New Roman"/>
        </w:rPr>
        <w:t xml:space="preserve"> note </w:t>
      </w:r>
      <w:r w:rsidR="00745BDA" w:rsidRPr="004F2B59">
        <w:rPr>
          <w:rFonts w:ascii="Times New Roman" w:hAnsi="Times New Roman" w:cs="Times New Roman"/>
        </w:rPr>
        <w:t>11</w:t>
      </w:r>
      <w:r w:rsidR="00B96A8D" w:rsidRPr="004F2B59">
        <w:rPr>
          <w:rFonts w:ascii="Times New Roman" w:hAnsi="Times New Roman" w:cs="Times New Roman"/>
        </w:rPr>
        <w:t xml:space="preserve"> at</w:t>
      </w:r>
      <w:r w:rsidRPr="004F2B59">
        <w:rPr>
          <w:rFonts w:ascii="Times New Roman" w:hAnsi="Times New Roman" w:cs="Times New Roman"/>
        </w:rPr>
        <w:t xml:space="preserve"> 140. </w:t>
      </w:r>
    </w:p>
  </w:footnote>
  <w:footnote w:id="9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2315F">
        <w:rPr>
          <w:rFonts w:ascii="Times New Roman" w:hAnsi="Times New Roman" w:cs="Times New Roman"/>
          <w:i/>
          <w:iCs/>
        </w:rPr>
        <w:t xml:space="preserve"> </w:t>
      </w:r>
      <w:r w:rsidR="0032315F">
        <w:rPr>
          <w:rFonts w:ascii="Times New Roman" w:hAnsi="Times New Roman" w:cs="Times New Roman"/>
          <w:i/>
          <w:iCs/>
        </w:rPr>
        <w:tab/>
      </w:r>
      <w:r w:rsidR="00B96A8D" w:rsidRPr="004F2B59">
        <w:rPr>
          <w:rFonts w:ascii="Times New Roman" w:hAnsi="Times New Roman" w:cs="Times New Roman"/>
          <w:i/>
          <w:iCs/>
        </w:rPr>
        <w:t>Id.</w:t>
      </w:r>
    </w:p>
  </w:footnote>
  <w:footnote w:id="9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2315F">
        <w:rPr>
          <w:rFonts w:ascii="Times New Roman" w:hAnsi="Times New Roman" w:cs="Times New Roman"/>
          <w:i/>
          <w:iCs/>
        </w:rPr>
        <w:t xml:space="preserve"> </w:t>
      </w:r>
      <w:r w:rsidR="0032315F">
        <w:rPr>
          <w:rFonts w:ascii="Times New Roman" w:hAnsi="Times New Roman" w:cs="Times New Roman"/>
          <w:i/>
          <w:iCs/>
        </w:rPr>
        <w:tab/>
      </w:r>
      <w:r w:rsidR="00B96A8D" w:rsidRPr="004F2B59">
        <w:rPr>
          <w:rFonts w:ascii="Times New Roman" w:hAnsi="Times New Roman" w:cs="Times New Roman"/>
          <w:i/>
          <w:iCs/>
        </w:rPr>
        <w:t>I</w:t>
      </w:r>
      <w:r w:rsidR="00745BDA" w:rsidRPr="004F2B59">
        <w:rPr>
          <w:rFonts w:ascii="Times New Roman" w:hAnsi="Times New Roman" w:cs="Times New Roman"/>
          <w:i/>
          <w:iCs/>
        </w:rPr>
        <w:t>bi</w:t>
      </w:r>
      <w:r w:rsidR="00B96A8D" w:rsidRPr="004F2B59">
        <w:rPr>
          <w:rFonts w:ascii="Times New Roman" w:hAnsi="Times New Roman" w:cs="Times New Roman"/>
          <w:i/>
          <w:iCs/>
        </w:rPr>
        <w:t>d.</w:t>
      </w:r>
    </w:p>
  </w:footnote>
  <w:footnote w:id="9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2315F">
        <w:rPr>
          <w:rFonts w:ascii="Times New Roman" w:hAnsi="Times New Roman" w:cs="Times New Roman"/>
          <w:lang w:val="en-US"/>
        </w:rPr>
        <w:t xml:space="preserve"> </w:t>
      </w:r>
      <w:r w:rsidR="0032315F">
        <w:rPr>
          <w:rFonts w:ascii="Times New Roman" w:hAnsi="Times New Roman" w:cs="Times New Roman"/>
          <w:lang w:val="en-US"/>
        </w:rPr>
        <w:tab/>
      </w:r>
      <w:r w:rsidRPr="004F2B59">
        <w:rPr>
          <w:rFonts w:ascii="Times New Roman" w:hAnsi="Times New Roman" w:cs="Times New Roman"/>
          <w:lang w:val="en-US"/>
        </w:rPr>
        <w:t>CRA (DB) 14 of 2023.</w:t>
      </w:r>
    </w:p>
  </w:footnote>
  <w:footnote w:id="9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2315F">
        <w:rPr>
          <w:rFonts w:ascii="Times New Roman" w:hAnsi="Times New Roman" w:cs="Times New Roman"/>
          <w:i/>
          <w:iCs/>
        </w:rPr>
        <w:t xml:space="preserve"> </w:t>
      </w:r>
      <w:r w:rsidR="0032315F">
        <w:rPr>
          <w:rFonts w:ascii="Times New Roman" w:hAnsi="Times New Roman" w:cs="Times New Roman"/>
          <w:i/>
          <w:iCs/>
        </w:rPr>
        <w:tab/>
      </w:r>
      <w:r w:rsidR="00414172" w:rsidRPr="004F2B59">
        <w:rPr>
          <w:rFonts w:ascii="Times New Roman" w:hAnsi="Times New Roman" w:cs="Times New Roman"/>
          <w:i/>
          <w:iCs/>
        </w:rPr>
        <w:t>I</w:t>
      </w:r>
      <w:r w:rsidR="00745BDA" w:rsidRPr="004F2B59">
        <w:rPr>
          <w:rFonts w:ascii="Times New Roman" w:hAnsi="Times New Roman" w:cs="Times New Roman"/>
          <w:i/>
          <w:iCs/>
        </w:rPr>
        <w:t>bi</w:t>
      </w:r>
      <w:r w:rsidR="00414172" w:rsidRPr="004F2B59">
        <w:rPr>
          <w:rFonts w:ascii="Times New Roman" w:hAnsi="Times New Roman" w:cs="Times New Roman"/>
          <w:i/>
          <w:iCs/>
        </w:rPr>
        <w:t>d.</w:t>
      </w:r>
    </w:p>
  </w:footnote>
  <w:footnote w:id="9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32315F">
        <w:rPr>
          <w:rFonts w:ascii="Times New Roman" w:hAnsi="Times New Roman" w:cs="Times New Roman"/>
          <w:i/>
          <w:iCs/>
        </w:rPr>
        <w:t xml:space="preserve"> </w:t>
      </w:r>
      <w:r w:rsidR="0032315F">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 at 23.</w:t>
      </w:r>
    </w:p>
  </w:footnote>
  <w:footnote w:id="10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F0D26">
        <w:rPr>
          <w:rFonts w:ascii="Times New Roman" w:hAnsi="Times New Roman" w:cs="Times New Roman"/>
          <w:i/>
          <w:iCs/>
        </w:rPr>
        <w:t xml:space="preserve"> </w:t>
      </w:r>
      <w:r w:rsidR="009F0D26">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 at 28.</w:t>
      </w:r>
    </w:p>
  </w:footnote>
  <w:footnote w:id="10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F0D26">
        <w:rPr>
          <w:rFonts w:ascii="Times New Roman" w:hAnsi="Times New Roman" w:cs="Times New Roman"/>
          <w:i/>
          <w:iCs/>
        </w:rPr>
        <w:t xml:space="preserve"> </w:t>
      </w:r>
      <w:r w:rsidR="009F0D26">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w:t>
      </w:r>
    </w:p>
  </w:footnote>
  <w:footnote w:id="10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F0D26">
        <w:rPr>
          <w:rFonts w:ascii="Times New Roman" w:hAnsi="Times New Roman" w:cs="Times New Roman"/>
        </w:rPr>
        <w:t xml:space="preserve"> </w:t>
      </w:r>
      <w:r w:rsidR="009F0D26">
        <w:rPr>
          <w:rFonts w:ascii="Times New Roman" w:hAnsi="Times New Roman" w:cs="Times New Roman"/>
        </w:rPr>
        <w:tab/>
      </w:r>
      <w:r w:rsidRPr="004F2B59">
        <w:rPr>
          <w:rFonts w:ascii="Times New Roman" w:hAnsi="Times New Roman" w:cs="Times New Roman"/>
        </w:rPr>
        <w:t>MrigrajGautam @ Rippu vs. State of Uttar Pradesh &amp; Ors. Criminal Misc. Bail Application No. - 45007 of 2023.</w:t>
      </w:r>
    </w:p>
  </w:footnote>
  <w:footnote w:id="10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F0D26">
        <w:rPr>
          <w:rFonts w:ascii="Times New Roman" w:hAnsi="Times New Roman" w:cs="Times New Roman"/>
          <w:i/>
          <w:iCs/>
        </w:rPr>
        <w:t xml:space="preserve"> </w:t>
      </w:r>
      <w:r w:rsidR="009F0D26">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 at 10.</w:t>
      </w:r>
    </w:p>
  </w:footnote>
  <w:footnote w:id="10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Atul Mishra V. State Of Uttar Pradesh &amp; Ors. Criminal Misc. Bail Application No.-53947 Of 2021.</w:t>
      </w:r>
    </w:p>
  </w:footnote>
  <w:footnote w:id="10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9F0D26">
        <w:rPr>
          <w:rFonts w:ascii="Times New Roman" w:hAnsi="Times New Roman" w:cs="Times New Roman"/>
          <w:i/>
          <w:iCs/>
        </w:rPr>
        <w:t xml:space="preserve"> </w:t>
      </w:r>
      <w:r w:rsidR="009F0D26">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 at 13.</w:t>
      </w:r>
    </w:p>
  </w:footnote>
  <w:footnote w:id="10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DF280B">
        <w:rPr>
          <w:rFonts w:ascii="Times New Roman" w:hAnsi="Times New Roman" w:cs="Times New Roman"/>
          <w:i/>
          <w:iCs/>
        </w:rPr>
        <w:t xml:space="preserve"> </w:t>
      </w:r>
      <w:r w:rsidR="00DF280B">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 at 18.</w:t>
      </w:r>
    </w:p>
  </w:footnote>
  <w:footnote w:id="10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DF280B">
        <w:rPr>
          <w:rFonts w:ascii="Times New Roman" w:hAnsi="Times New Roman" w:cs="Times New Roman"/>
        </w:rPr>
        <w:tab/>
      </w:r>
      <w:r w:rsidRPr="004F2B59">
        <w:rPr>
          <w:rFonts w:ascii="Times New Roman" w:hAnsi="Times New Roman" w:cs="Times New Roman"/>
        </w:rPr>
        <w:t>Criminal Appeal No.490 of 2018</w:t>
      </w:r>
      <w:r w:rsidR="0085730D" w:rsidRPr="004F2B59">
        <w:rPr>
          <w:rFonts w:ascii="Times New Roman" w:hAnsi="Times New Roman" w:cs="Times New Roman"/>
        </w:rPr>
        <w:t>.</w:t>
      </w:r>
    </w:p>
  </w:footnote>
  <w:footnote w:id="10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DF280B">
        <w:rPr>
          <w:rFonts w:ascii="Times New Roman" w:hAnsi="Times New Roman" w:cs="Times New Roman"/>
          <w:i/>
          <w:iCs/>
        </w:rPr>
        <w:t xml:space="preserve"> </w:t>
      </w:r>
      <w:r w:rsidR="00DF280B">
        <w:rPr>
          <w:rFonts w:ascii="Times New Roman" w:hAnsi="Times New Roman" w:cs="Times New Roman"/>
          <w:i/>
          <w:iCs/>
        </w:rPr>
        <w:tab/>
      </w:r>
      <w:r w:rsidRPr="004F2B59">
        <w:rPr>
          <w:rFonts w:ascii="Times New Roman" w:hAnsi="Times New Roman" w:cs="Times New Roman"/>
          <w:i/>
          <w:iCs/>
        </w:rPr>
        <w:t>I</w:t>
      </w:r>
      <w:r w:rsidR="00745BDA" w:rsidRPr="004F2B59">
        <w:rPr>
          <w:rFonts w:ascii="Times New Roman" w:hAnsi="Times New Roman" w:cs="Times New Roman"/>
          <w:i/>
          <w:iCs/>
        </w:rPr>
        <w:t>bi</w:t>
      </w:r>
      <w:r w:rsidRPr="004F2B59">
        <w:rPr>
          <w:rFonts w:ascii="Times New Roman" w:hAnsi="Times New Roman" w:cs="Times New Roman"/>
          <w:i/>
          <w:iCs/>
        </w:rPr>
        <w:t>d</w:t>
      </w:r>
      <w:r w:rsidRPr="004F2B59">
        <w:rPr>
          <w:rFonts w:ascii="Times New Roman" w:hAnsi="Times New Roman" w:cs="Times New Roman"/>
        </w:rPr>
        <w:t>., at 29.</w:t>
      </w:r>
    </w:p>
  </w:footnote>
  <w:footnote w:id="109">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DF280B">
        <w:rPr>
          <w:rFonts w:ascii="Times New Roman" w:hAnsi="Times New Roman" w:cs="Times New Roman"/>
          <w:i/>
          <w:iCs/>
        </w:rPr>
        <w:t xml:space="preserve"> </w:t>
      </w:r>
      <w:r w:rsidR="00DF280B">
        <w:rPr>
          <w:rFonts w:ascii="Times New Roman" w:hAnsi="Times New Roman" w:cs="Times New Roman"/>
          <w:i/>
          <w:iCs/>
        </w:rPr>
        <w:tab/>
      </w:r>
      <w:r w:rsidRPr="004F2B59">
        <w:rPr>
          <w:rFonts w:ascii="Times New Roman" w:hAnsi="Times New Roman" w:cs="Times New Roman"/>
          <w:i/>
          <w:iCs/>
        </w:rPr>
        <w:t>I</w:t>
      </w:r>
      <w:r w:rsidR="00745BDA" w:rsidRPr="004F2B59">
        <w:rPr>
          <w:rFonts w:ascii="Times New Roman" w:hAnsi="Times New Roman" w:cs="Times New Roman"/>
          <w:i/>
          <w:iCs/>
        </w:rPr>
        <w:t>bi</w:t>
      </w:r>
      <w:r w:rsidRPr="004F2B59">
        <w:rPr>
          <w:rFonts w:ascii="Times New Roman" w:hAnsi="Times New Roman" w:cs="Times New Roman"/>
          <w:i/>
          <w:iCs/>
        </w:rPr>
        <w:t>d</w:t>
      </w:r>
    </w:p>
  </w:footnote>
  <w:footnote w:id="11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DF280B">
        <w:rPr>
          <w:rFonts w:ascii="Times New Roman" w:hAnsi="Times New Roman" w:cs="Times New Roman"/>
        </w:rPr>
        <w:tab/>
      </w:r>
      <w:r w:rsidRPr="004F2B59">
        <w:rPr>
          <w:rFonts w:ascii="Times New Roman" w:hAnsi="Times New Roman" w:cs="Times New Roman"/>
        </w:rPr>
        <w:t>Crl.M.P.No.109 of 2021.</w:t>
      </w:r>
    </w:p>
  </w:footnote>
  <w:footnote w:id="111">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DF280B">
        <w:rPr>
          <w:rFonts w:ascii="Times New Roman" w:hAnsi="Times New Roman" w:cs="Times New Roman"/>
          <w:i/>
          <w:iCs/>
        </w:rPr>
        <w:t xml:space="preserve"> </w:t>
      </w:r>
      <w:r w:rsidR="00DF280B">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 at 18.</w:t>
      </w:r>
    </w:p>
  </w:footnote>
  <w:footnote w:id="112">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DF280B">
        <w:rPr>
          <w:rFonts w:ascii="Times New Roman" w:hAnsi="Times New Roman" w:cs="Times New Roman"/>
          <w:i/>
          <w:iCs/>
        </w:rPr>
        <w:t xml:space="preserve"> </w:t>
      </w:r>
      <w:r w:rsidR="00DF280B">
        <w:rPr>
          <w:rFonts w:ascii="Times New Roman" w:hAnsi="Times New Roman" w:cs="Times New Roman"/>
          <w:i/>
          <w:iCs/>
        </w:rPr>
        <w:tab/>
      </w:r>
      <w:r w:rsidRPr="004F2B59">
        <w:rPr>
          <w:rFonts w:ascii="Times New Roman" w:hAnsi="Times New Roman" w:cs="Times New Roman"/>
          <w:i/>
          <w:iCs/>
        </w:rPr>
        <w:t>Id</w:t>
      </w:r>
      <w:r w:rsidRPr="004F2B59">
        <w:rPr>
          <w:rFonts w:ascii="Times New Roman" w:hAnsi="Times New Roman" w:cs="Times New Roman"/>
        </w:rPr>
        <w:t>.</w:t>
      </w:r>
    </w:p>
  </w:footnote>
  <w:footnote w:id="11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DF280B">
        <w:rPr>
          <w:rFonts w:ascii="Times New Roman" w:hAnsi="Times New Roman" w:cs="Times New Roman"/>
          <w:color w:val="000000"/>
          <w:spacing w:val="1"/>
          <w:shd w:val="clear" w:color="auto" w:fill="FFFFFF"/>
        </w:rPr>
        <w:t xml:space="preserve"> </w:t>
      </w:r>
      <w:r w:rsidR="00DF280B">
        <w:rPr>
          <w:rFonts w:ascii="Times New Roman" w:hAnsi="Times New Roman" w:cs="Times New Roman"/>
          <w:color w:val="000000"/>
          <w:spacing w:val="1"/>
          <w:shd w:val="clear" w:color="auto" w:fill="FFFFFF"/>
        </w:rPr>
        <w:tab/>
      </w:r>
      <w:r w:rsidRPr="004F2B59">
        <w:rPr>
          <w:rFonts w:ascii="Times New Roman" w:hAnsi="Times New Roman" w:cs="Times New Roman"/>
          <w:color w:val="000000"/>
          <w:spacing w:val="1"/>
          <w:shd w:val="clear" w:color="auto" w:fill="FFFFFF"/>
        </w:rPr>
        <w:t>Rama @ Bande Rama v. State of Karnataka, CRL.P No. 6214 of 2022.</w:t>
      </w:r>
    </w:p>
  </w:footnote>
  <w:footnote w:id="114">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DF280B">
        <w:rPr>
          <w:rFonts w:ascii="Times New Roman" w:hAnsi="Times New Roman" w:cs="Times New Roman"/>
        </w:rPr>
        <w:tab/>
      </w:r>
      <w:r w:rsidRPr="004F2B59">
        <w:rPr>
          <w:rFonts w:ascii="Times New Roman" w:hAnsi="Times New Roman" w:cs="Times New Roman"/>
        </w:rPr>
        <w:t>Arif Khan v. The State &amp;Anr. W.P. (CRL) 1064/2023.</w:t>
      </w:r>
    </w:p>
  </w:footnote>
  <w:footnote w:id="115">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1436E6">
        <w:rPr>
          <w:rFonts w:ascii="Times New Roman" w:hAnsi="Times New Roman" w:cs="Times New Roman"/>
        </w:rPr>
        <w:t xml:space="preserve"> </w:t>
      </w:r>
      <w:r w:rsidR="001436E6">
        <w:rPr>
          <w:rFonts w:ascii="Times New Roman" w:hAnsi="Times New Roman" w:cs="Times New Roman"/>
        </w:rPr>
        <w:tab/>
      </w:r>
      <w:r w:rsidRPr="004F2B59">
        <w:rPr>
          <w:rFonts w:ascii="Times New Roman" w:hAnsi="Times New Roman" w:cs="Times New Roman"/>
        </w:rPr>
        <w:t xml:space="preserve">Jagriti Chandra, </w:t>
      </w:r>
      <w:r w:rsidR="00745BDA" w:rsidRPr="004F2B59">
        <w:rPr>
          <w:rFonts w:ascii="Times New Roman" w:hAnsi="Times New Roman" w:cs="Times New Roman"/>
        </w:rPr>
        <w:t>“</w:t>
      </w:r>
      <w:r w:rsidRPr="004F2B59">
        <w:rPr>
          <w:rFonts w:ascii="Times New Roman" w:hAnsi="Times New Roman" w:cs="Times New Roman"/>
        </w:rPr>
        <w:t>No Plan to Revise the Age of Consent, Centre Tells Rajya Sabha</w:t>
      </w:r>
      <w:r w:rsidR="00745BDA" w:rsidRPr="004F2B59">
        <w:rPr>
          <w:rFonts w:ascii="Times New Roman" w:hAnsi="Times New Roman" w:cs="Times New Roman"/>
        </w:rPr>
        <w:t>”</w:t>
      </w:r>
      <w:r w:rsidRPr="004F2B59">
        <w:rPr>
          <w:rFonts w:ascii="Times New Roman" w:hAnsi="Times New Roman" w:cs="Times New Roman"/>
        </w:rPr>
        <w:t xml:space="preserve">, </w:t>
      </w:r>
      <w:r w:rsidR="00745BDA" w:rsidRPr="004F2B59">
        <w:rPr>
          <w:rFonts w:ascii="Times New Roman" w:hAnsi="Times New Roman" w:cs="Times New Roman"/>
          <w:i/>
          <w:iCs/>
        </w:rPr>
        <w:t>The Hindu</w:t>
      </w:r>
      <w:r w:rsidRPr="004F2B59">
        <w:rPr>
          <w:rFonts w:ascii="Times New Roman" w:hAnsi="Times New Roman" w:cs="Times New Roman"/>
          <w:i/>
          <w:iCs/>
        </w:rPr>
        <w:t xml:space="preserve">, </w:t>
      </w:r>
      <w:r w:rsidR="00414172" w:rsidRPr="004F2B59">
        <w:rPr>
          <w:rFonts w:ascii="Times New Roman" w:hAnsi="Times New Roman" w:cs="Times New Roman"/>
        </w:rPr>
        <w:t>(</w:t>
      </w:r>
      <w:r w:rsidRPr="004F2B59">
        <w:rPr>
          <w:rFonts w:ascii="Times New Roman" w:hAnsi="Times New Roman" w:cs="Times New Roman"/>
        </w:rPr>
        <w:t>December 22, 2022</w:t>
      </w:r>
      <w:r w:rsidR="00414172" w:rsidRPr="004F2B59">
        <w:rPr>
          <w:rFonts w:ascii="Times New Roman" w:hAnsi="Times New Roman" w:cs="Times New Roman"/>
        </w:rPr>
        <w:t>)</w:t>
      </w:r>
      <w:r w:rsidRPr="004F2B59">
        <w:rPr>
          <w:rFonts w:ascii="Times New Roman" w:hAnsi="Times New Roman" w:cs="Times New Roman"/>
          <w:i/>
          <w:iCs/>
        </w:rPr>
        <w:t xml:space="preserve">available at </w:t>
      </w:r>
      <w:hyperlink r:id="rId3" w:history="1">
        <w:r w:rsidRPr="004F2B59">
          <w:rPr>
            <w:rStyle w:val="Hyperlink"/>
            <w:rFonts w:ascii="Times New Roman" w:hAnsi="Times New Roman" w:cs="Times New Roman"/>
            <w:i/>
            <w:iCs/>
          </w:rPr>
          <w:t>https://www.thehindu.com/news/national/no-plans-to-reduce-age-of-consent-for-relationships-centre/article66288969.ece</w:t>
        </w:r>
      </w:hyperlink>
      <w:r w:rsidRPr="004F2B59">
        <w:rPr>
          <w:rFonts w:ascii="Times New Roman" w:hAnsi="Times New Roman" w:cs="Times New Roman"/>
        </w:rPr>
        <w:t>(</w:t>
      </w:r>
      <w:r w:rsidR="00414172" w:rsidRPr="004F2B59">
        <w:rPr>
          <w:rFonts w:ascii="Times New Roman" w:hAnsi="Times New Roman" w:cs="Times New Roman"/>
        </w:rPr>
        <w:t xml:space="preserve">Last visited </w:t>
      </w:r>
      <w:r w:rsidR="00745BDA" w:rsidRPr="004F2B59">
        <w:rPr>
          <w:rFonts w:ascii="Times New Roman" w:hAnsi="Times New Roman" w:cs="Times New Roman"/>
        </w:rPr>
        <w:t xml:space="preserve">on </w:t>
      </w:r>
      <w:r w:rsidRPr="004F2B59">
        <w:rPr>
          <w:rFonts w:ascii="Times New Roman" w:hAnsi="Times New Roman" w:cs="Times New Roman"/>
        </w:rPr>
        <w:t>10</w:t>
      </w:r>
      <w:r w:rsidR="0062161C" w:rsidRPr="004F2B59">
        <w:rPr>
          <w:rFonts w:ascii="Times New Roman" w:hAnsi="Times New Roman" w:cs="Times New Roman"/>
        </w:rPr>
        <w:t>th July 2024</w:t>
      </w:r>
      <w:r w:rsidRPr="004F2B59">
        <w:rPr>
          <w:rFonts w:ascii="Times New Roman" w:hAnsi="Times New Roman" w:cs="Times New Roman"/>
        </w:rPr>
        <w:t>).</w:t>
      </w:r>
    </w:p>
  </w:footnote>
  <w:footnote w:id="116">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Pr="004F2B59">
        <w:rPr>
          <w:rFonts w:ascii="Times New Roman" w:hAnsi="Times New Roman" w:cs="Times New Roman"/>
        </w:rPr>
        <w:t xml:space="preserve"> </w:t>
      </w:r>
      <w:r w:rsidR="001436E6">
        <w:rPr>
          <w:rFonts w:ascii="Times New Roman" w:hAnsi="Times New Roman" w:cs="Times New Roman"/>
        </w:rPr>
        <w:t xml:space="preserve"> </w:t>
      </w:r>
      <w:r w:rsidR="001436E6">
        <w:rPr>
          <w:rFonts w:ascii="Times New Roman" w:hAnsi="Times New Roman" w:cs="Times New Roman"/>
        </w:rPr>
        <w:tab/>
      </w:r>
      <w:r w:rsidRPr="004F2B59">
        <w:rPr>
          <w:rFonts w:ascii="Times New Roman" w:hAnsi="Times New Roman" w:cs="Times New Roman"/>
        </w:rPr>
        <w:t>State of Karnataka v. Basavraj S/o YellappaMadar (2023) 1 AIR Kant R 231</w:t>
      </w:r>
      <w:r w:rsidR="0085730D" w:rsidRPr="004F2B59">
        <w:rPr>
          <w:rFonts w:ascii="Times New Roman" w:hAnsi="Times New Roman" w:cs="Times New Roman"/>
        </w:rPr>
        <w:t>.</w:t>
      </w:r>
    </w:p>
  </w:footnote>
  <w:footnote w:id="117">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1436E6">
        <w:rPr>
          <w:rFonts w:ascii="Times New Roman" w:hAnsi="Times New Roman" w:cs="Times New Roman"/>
        </w:rPr>
        <w:t xml:space="preserve"> </w:t>
      </w:r>
      <w:r w:rsidR="001436E6">
        <w:rPr>
          <w:rFonts w:ascii="Times New Roman" w:hAnsi="Times New Roman" w:cs="Times New Roman"/>
        </w:rPr>
        <w:tab/>
      </w:r>
      <w:r w:rsidRPr="004F2B59">
        <w:rPr>
          <w:rFonts w:ascii="Times New Roman" w:hAnsi="Times New Roman" w:cs="Times New Roman"/>
        </w:rPr>
        <w:t>VeekeshKalawat v. State of Madhya Pradesh &amp; Ors. [Misc. Criminal Case No. 4521 of 2023].</w:t>
      </w:r>
    </w:p>
  </w:footnote>
  <w:footnote w:id="118">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1436E6">
        <w:rPr>
          <w:rFonts w:ascii="Times New Roman" w:hAnsi="Times New Roman" w:cs="Times New Roman"/>
          <w:i/>
          <w:iCs/>
        </w:rPr>
        <w:t xml:space="preserve"> </w:t>
      </w:r>
      <w:r w:rsidR="001436E6">
        <w:rPr>
          <w:rFonts w:ascii="Times New Roman" w:hAnsi="Times New Roman" w:cs="Times New Roman"/>
          <w:i/>
          <w:iCs/>
        </w:rPr>
        <w:tab/>
      </w:r>
      <w:r w:rsidR="00745BDA" w:rsidRPr="004F2B59">
        <w:rPr>
          <w:rFonts w:ascii="Times New Roman" w:hAnsi="Times New Roman" w:cs="Times New Roman"/>
          <w:i/>
          <w:iCs/>
        </w:rPr>
        <w:t>S</w:t>
      </w:r>
      <w:r w:rsidR="00BD1ED9" w:rsidRPr="004F2B59">
        <w:rPr>
          <w:rFonts w:ascii="Times New Roman" w:hAnsi="Times New Roman" w:cs="Times New Roman"/>
          <w:i/>
          <w:iCs/>
        </w:rPr>
        <w:t xml:space="preserve">upra </w:t>
      </w:r>
      <w:r w:rsidR="00BD1ED9" w:rsidRPr="004F2B59">
        <w:rPr>
          <w:rFonts w:ascii="Times New Roman" w:hAnsi="Times New Roman" w:cs="Times New Roman"/>
        </w:rPr>
        <w:t>note 1</w:t>
      </w:r>
      <w:r w:rsidR="00745BDA" w:rsidRPr="004F2B59">
        <w:rPr>
          <w:rFonts w:ascii="Times New Roman" w:hAnsi="Times New Roman" w:cs="Times New Roman"/>
        </w:rPr>
        <w:t>9</w:t>
      </w:r>
      <w:r w:rsidR="00BD1ED9" w:rsidRPr="004F2B59">
        <w:rPr>
          <w:rFonts w:ascii="Times New Roman" w:hAnsi="Times New Roman" w:cs="Times New Roman"/>
        </w:rPr>
        <w:t xml:space="preserve"> at</w:t>
      </w:r>
      <w:r w:rsidRPr="004F2B59">
        <w:rPr>
          <w:rFonts w:ascii="Times New Roman" w:hAnsi="Times New Roman" w:cs="Times New Roman"/>
        </w:rPr>
        <w:t xml:space="preserve"> 3.</w:t>
      </w:r>
    </w:p>
  </w:footnote>
  <w:footnote w:id="119">
    <w:p w:rsidR="00924EEA" w:rsidRPr="004F2B59" w:rsidRDefault="00924EEA" w:rsidP="002103F0">
      <w:pPr>
        <w:pStyle w:val="FootnoteText"/>
        <w:spacing w:line="220" w:lineRule="exact"/>
        <w:ind w:left="432" w:hanging="432"/>
        <w:jc w:val="both"/>
        <w:rPr>
          <w:rFonts w:ascii="Times New Roman" w:hAnsi="Times New Roman" w:cs="Times New Roman"/>
          <w:i/>
          <w:iCs/>
        </w:rPr>
      </w:pPr>
      <w:r w:rsidRPr="004F2B59">
        <w:rPr>
          <w:rStyle w:val="FootnoteReference"/>
          <w:rFonts w:ascii="Times New Roman" w:hAnsi="Times New Roman" w:cs="Times New Roman"/>
          <w:vertAlign w:val="baseline"/>
        </w:rPr>
        <w:footnoteRef/>
      </w:r>
      <w:r w:rsidR="001436E6">
        <w:rPr>
          <w:rFonts w:ascii="Times New Roman" w:hAnsi="Times New Roman" w:cs="Times New Roman"/>
          <w:i/>
          <w:iCs/>
        </w:rPr>
        <w:t xml:space="preserve"> </w:t>
      </w:r>
      <w:r w:rsidR="001436E6">
        <w:rPr>
          <w:rFonts w:ascii="Times New Roman" w:hAnsi="Times New Roman" w:cs="Times New Roman"/>
          <w:i/>
          <w:iCs/>
        </w:rPr>
        <w:tab/>
      </w:r>
      <w:r w:rsidRPr="004F2B59">
        <w:rPr>
          <w:rFonts w:ascii="Times New Roman" w:hAnsi="Times New Roman" w:cs="Times New Roman"/>
          <w:i/>
          <w:iCs/>
        </w:rPr>
        <w:t>I</w:t>
      </w:r>
      <w:r w:rsidR="00745BDA" w:rsidRPr="004F2B59">
        <w:rPr>
          <w:rFonts w:ascii="Times New Roman" w:hAnsi="Times New Roman" w:cs="Times New Roman"/>
          <w:i/>
          <w:iCs/>
        </w:rPr>
        <w:t>bi</w:t>
      </w:r>
      <w:r w:rsidRPr="004F2B59">
        <w:rPr>
          <w:rFonts w:ascii="Times New Roman" w:hAnsi="Times New Roman" w:cs="Times New Roman"/>
          <w:i/>
          <w:iCs/>
        </w:rPr>
        <w:t>d.</w:t>
      </w:r>
    </w:p>
  </w:footnote>
  <w:footnote w:id="120">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1436E6">
        <w:rPr>
          <w:rFonts w:ascii="Times New Roman" w:hAnsi="Times New Roman" w:cs="Times New Roman"/>
          <w:i/>
          <w:iCs/>
        </w:rPr>
        <w:t xml:space="preserve"> </w:t>
      </w:r>
      <w:r w:rsidRPr="004F2B59">
        <w:rPr>
          <w:rFonts w:ascii="Times New Roman" w:hAnsi="Times New Roman" w:cs="Times New Roman"/>
          <w:i/>
          <w:iCs/>
        </w:rPr>
        <w:t xml:space="preserve">Id., </w:t>
      </w:r>
      <w:r w:rsidR="007D5995" w:rsidRPr="004F2B59">
        <w:rPr>
          <w:rFonts w:ascii="Times New Roman" w:hAnsi="Times New Roman" w:cs="Times New Roman"/>
        </w:rPr>
        <w:t>at</w:t>
      </w:r>
      <w:r w:rsidRPr="004F2B59">
        <w:rPr>
          <w:rFonts w:ascii="Times New Roman" w:hAnsi="Times New Roman" w:cs="Times New Roman"/>
        </w:rPr>
        <w:t xml:space="preserve"> 106.</w:t>
      </w:r>
    </w:p>
  </w:footnote>
  <w:footnote w:id="121">
    <w:p w:rsidR="002655C6" w:rsidRPr="004F2B59" w:rsidRDefault="002655C6" w:rsidP="002103F0">
      <w:pPr>
        <w:pStyle w:val="FootnoteText"/>
        <w:spacing w:line="220" w:lineRule="exact"/>
        <w:ind w:left="432" w:hanging="432"/>
        <w:jc w:val="both"/>
        <w:rPr>
          <w:rFonts w:ascii="Times New Roman" w:hAnsi="Times New Roman" w:cs="Times New Roman"/>
          <w:i/>
          <w:iCs/>
        </w:rPr>
      </w:pPr>
      <w:r w:rsidRPr="004F2B59">
        <w:rPr>
          <w:rStyle w:val="FootnoteReference"/>
          <w:rFonts w:ascii="Times New Roman" w:hAnsi="Times New Roman" w:cs="Times New Roman"/>
          <w:vertAlign w:val="baseline"/>
        </w:rPr>
        <w:footnoteRef/>
      </w:r>
      <w:r w:rsidR="0062591C">
        <w:rPr>
          <w:rFonts w:ascii="Times New Roman" w:hAnsi="Times New Roman" w:cs="Times New Roman"/>
          <w:i/>
          <w:iCs/>
        </w:rPr>
        <w:t xml:space="preserve"> </w:t>
      </w:r>
      <w:r w:rsidR="0062591C">
        <w:rPr>
          <w:rFonts w:ascii="Times New Roman" w:hAnsi="Times New Roman" w:cs="Times New Roman"/>
          <w:i/>
          <w:iCs/>
        </w:rPr>
        <w:tab/>
      </w:r>
      <w:r w:rsidRPr="004F2B59">
        <w:rPr>
          <w:rFonts w:ascii="Times New Roman" w:hAnsi="Times New Roman" w:cs="Times New Roman"/>
          <w:i/>
          <w:iCs/>
        </w:rPr>
        <w:t xml:space="preserve">Id., </w:t>
      </w:r>
      <w:r w:rsidR="007D5995" w:rsidRPr="004F2B59">
        <w:rPr>
          <w:rFonts w:ascii="Times New Roman" w:hAnsi="Times New Roman" w:cs="Times New Roman"/>
        </w:rPr>
        <w:t>at</w:t>
      </w:r>
      <w:r w:rsidRPr="004F2B59">
        <w:rPr>
          <w:rFonts w:ascii="Times New Roman" w:hAnsi="Times New Roman" w:cs="Times New Roman"/>
        </w:rPr>
        <w:t xml:space="preserve"> 107</w:t>
      </w:r>
      <w:r w:rsidRPr="004F2B59">
        <w:rPr>
          <w:rFonts w:ascii="Times New Roman" w:hAnsi="Times New Roman" w:cs="Times New Roman"/>
          <w:i/>
          <w:iCs/>
        </w:rPr>
        <w:t>.</w:t>
      </w:r>
    </w:p>
  </w:footnote>
  <w:footnote w:id="122">
    <w:p w:rsidR="001D2B0E" w:rsidRPr="004F2B59" w:rsidRDefault="001D2B0E"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2591C">
        <w:rPr>
          <w:rFonts w:ascii="Times New Roman" w:hAnsi="Times New Roman" w:cs="Times New Roman"/>
          <w:i/>
          <w:iCs/>
        </w:rPr>
        <w:t xml:space="preserve"> </w:t>
      </w:r>
      <w:r w:rsidR="0062591C">
        <w:rPr>
          <w:rFonts w:ascii="Times New Roman" w:hAnsi="Times New Roman" w:cs="Times New Roman"/>
          <w:i/>
          <w:iCs/>
        </w:rPr>
        <w:tab/>
      </w:r>
      <w:r w:rsidRPr="004F2B59">
        <w:rPr>
          <w:rFonts w:ascii="Times New Roman" w:hAnsi="Times New Roman" w:cs="Times New Roman"/>
          <w:i/>
          <w:iCs/>
        </w:rPr>
        <w:t xml:space="preserve">Id., </w:t>
      </w:r>
      <w:r w:rsidRPr="004F2B59">
        <w:rPr>
          <w:rFonts w:ascii="Times New Roman" w:hAnsi="Times New Roman" w:cs="Times New Roman"/>
        </w:rPr>
        <w:t>at 117.</w:t>
      </w:r>
    </w:p>
  </w:footnote>
  <w:footnote w:id="123">
    <w:p w:rsidR="002655C6" w:rsidRPr="004F2B59" w:rsidRDefault="002655C6" w:rsidP="002103F0">
      <w:pPr>
        <w:pStyle w:val="FootnoteText"/>
        <w:spacing w:line="220" w:lineRule="exact"/>
        <w:ind w:left="432" w:hanging="432"/>
        <w:jc w:val="both"/>
        <w:rPr>
          <w:rFonts w:ascii="Times New Roman" w:hAnsi="Times New Roman" w:cs="Times New Roman"/>
        </w:rPr>
      </w:pPr>
      <w:r w:rsidRPr="004F2B59">
        <w:rPr>
          <w:rStyle w:val="FootnoteReference"/>
          <w:rFonts w:ascii="Times New Roman" w:hAnsi="Times New Roman" w:cs="Times New Roman"/>
          <w:vertAlign w:val="baseline"/>
        </w:rPr>
        <w:footnoteRef/>
      </w:r>
      <w:r w:rsidR="0062591C">
        <w:rPr>
          <w:rFonts w:ascii="Times New Roman" w:hAnsi="Times New Roman" w:cs="Times New Roman"/>
          <w:i/>
          <w:iCs/>
        </w:rPr>
        <w:t xml:space="preserve"> </w:t>
      </w:r>
      <w:r w:rsidR="0062591C">
        <w:rPr>
          <w:rFonts w:ascii="Times New Roman" w:hAnsi="Times New Roman" w:cs="Times New Roman"/>
          <w:i/>
          <w:iCs/>
        </w:rPr>
        <w:tab/>
      </w:r>
      <w:r w:rsidRPr="004F2B59">
        <w:rPr>
          <w:rFonts w:ascii="Times New Roman" w:hAnsi="Times New Roman" w:cs="Times New Roman"/>
          <w:i/>
          <w:iCs/>
        </w:rPr>
        <w:t xml:space="preserve">Id., </w:t>
      </w:r>
      <w:r w:rsidR="007D5995" w:rsidRPr="004F2B59">
        <w:rPr>
          <w:rFonts w:ascii="Times New Roman" w:hAnsi="Times New Roman" w:cs="Times New Roman"/>
        </w:rPr>
        <w:t>at</w:t>
      </w:r>
      <w:r w:rsidRPr="004F2B59">
        <w:rPr>
          <w:rFonts w:ascii="Times New Roman" w:hAnsi="Times New Roman" w:cs="Times New Roman"/>
        </w:rPr>
        <w:t xml:space="preserve"> 118.</w:t>
      </w:r>
    </w:p>
  </w:footnote>
  <w:footnote w:id="124">
    <w:p w:rsidR="002655C6" w:rsidRPr="004F2B59" w:rsidRDefault="002655C6" w:rsidP="002103F0">
      <w:pPr>
        <w:pStyle w:val="FootnoteText"/>
        <w:spacing w:line="220" w:lineRule="exact"/>
        <w:ind w:left="432" w:hanging="432"/>
        <w:jc w:val="both"/>
        <w:rPr>
          <w:rFonts w:ascii="Times New Roman" w:hAnsi="Times New Roman" w:cs="Times New Roman"/>
          <w:lang w:val="en-US"/>
        </w:rPr>
      </w:pPr>
      <w:r w:rsidRPr="004F2B59">
        <w:rPr>
          <w:rStyle w:val="FootnoteReference"/>
          <w:rFonts w:ascii="Times New Roman" w:hAnsi="Times New Roman" w:cs="Times New Roman"/>
          <w:vertAlign w:val="baseline"/>
        </w:rPr>
        <w:footnoteRef/>
      </w:r>
      <w:r w:rsidR="0062591C">
        <w:rPr>
          <w:rFonts w:ascii="Times New Roman" w:hAnsi="Times New Roman" w:cs="Times New Roman"/>
          <w:lang w:val="en-US"/>
        </w:rPr>
        <w:t xml:space="preserve"> </w:t>
      </w:r>
      <w:r w:rsidR="0062591C">
        <w:rPr>
          <w:rFonts w:ascii="Times New Roman" w:hAnsi="Times New Roman" w:cs="Times New Roman"/>
          <w:lang w:val="en-US"/>
        </w:rPr>
        <w:tab/>
      </w:r>
      <w:r w:rsidRPr="004F2B59">
        <w:rPr>
          <w:rFonts w:ascii="Times New Roman" w:hAnsi="Times New Roman" w:cs="Times New Roman"/>
          <w:lang w:val="en-US"/>
        </w:rPr>
        <w:t xml:space="preserve">The Juvenile Justice (Care and Protection of Children) Act, 2015 ensures that the children who are accused of committing heinous crimes and are between the ages of 16 to 18 years be tried as adults according to section 15 read with section 18(3) of the said act. </w:t>
      </w:r>
      <w:r w:rsidRPr="004F2B59">
        <w:rPr>
          <w:rFonts w:ascii="Times New Roman" w:hAnsi="Times New Roman" w:cs="Times New Roman"/>
        </w:rPr>
        <w:t>The Juvenile Justice Board (JJB), in this regard is empowered to conduct a preliminary enquiry regarding the mental and physical capacity of the child to commit the offence</w:t>
      </w:r>
      <w:r w:rsidRPr="004F2B59">
        <w:rPr>
          <w:rFonts w:ascii="Times New Roman" w:hAnsi="Times New Roman" w:cs="Times New Roman"/>
          <w:lang w:val="en-US"/>
        </w:rPr>
        <w:t xml:space="preserve"> along with his capability to understand the consequences of the offence.</w:t>
      </w:r>
    </w:p>
  </w:footnote>
  <w:footnote w:id="125">
    <w:p w:rsidR="002655C6" w:rsidRPr="004F2B59" w:rsidRDefault="002655C6" w:rsidP="002103F0">
      <w:pPr>
        <w:pStyle w:val="FootnoteText"/>
        <w:spacing w:line="220" w:lineRule="exact"/>
        <w:ind w:left="432" w:hanging="432"/>
        <w:jc w:val="both"/>
        <w:rPr>
          <w:rFonts w:ascii="Times New Roman" w:hAnsi="Times New Roman" w:cs="Times New Roman"/>
          <w:b/>
          <w:bCs/>
        </w:rPr>
      </w:pPr>
      <w:r w:rsidRPr="004F2B59">
        <w:rPr>
          <w:rStyle w:val="FootnoteReference"/>
          <w:rFonts w:ascii="Times New Roman" w:hAnsi="Times New Roman" w:cs="Times New Roman"/>
          <w:vertAlign w:val="baseline"/>
        </w:rPr>
        <w:footnoteRef/>
      </w:r>
      <w:r w:rsidR="004E6C77">
        <w:rPr>
          <w:rFonts w:ascii="Times New Roman" w:hAnsi="Times New Roman" w:cs="Times New Roman"/>
          <w:i/>
          <w:iCs/>
        </w:rPr>
        <w:t xml:space="preserve"> </w:t>
      </w:r>
      <w:r w:rsidR="004E6C77">
        <w:rPr>
          <w:rFonts w:ascii="Times New Roman" w:hAnsi="Times New Roman" w:cs="Times New Roman"/>
          <w:i/>
          <w:iCs/>
        </w:rPr>
        <w:tab/>
      </w:r>
      <w:r w:rsidR="00745BDA" w:rsidRPr="004F2B59">
        <w:rPr>
          <w:rFonts w:ascii="Times New Roman" w:hAnsi="Times New Roman" w:cs="Times New Roman"/>
          <w:i/>
          <w:iCs/>
        </w:rPr>
        <w:t xml:space="preserve">Supra </w:t>
      </w:r>
      <w:r w:rsidR="00745BDA" w:rsidRPr="004F2B59">
        <w:rPr>
          <w:rFonts w:ascii="Times New Roman" w:hAnsi="Times New Roman" w:cs="Times New Roman"/>
        </w:rPr>
        <w:t>note 66 ata</w:t>
      </w:r>
      <w:r w:rsidRPr="004F2B59">
        <w:rPr>
          <w:rFonts w:ascii="Times New Roman" w:hAnsi="Times New Roman" w:cs="Times New Roman"/>
        </w:rPr>
        <w:t>rt. 1.</w:t>
      </w:r>
    </w:p>
    <w:p w:rsidR="002655C6" w:rsidRPr="004F2B59" w:rsidRDefault="002655C6" w:rsidP="002103F0">
      <w:pPr>
        <w:pStyle w:val="FootnoteText"/>
        <w:spacing w:line="220" w:lineRule="exact"/>
        <w:ind w:left="432" w:hanging="432"/>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6A" w:rsidRDefault="00C86056">
    <w:pPr>
      <w:pStyle w:val="Header"/>
      <w:rPr>
        <w:rFonts w:ascii="Times New Roman" w:hAnsi="Times New Roman" w:cs="Times New Roman"/>
        <w:b/>
        <w:sz w:val="20"/>
        <w:szCs w:val="20"/>
        <w:u w:val="single"/>
      </w:rPr>
    </w:pPr>
    <w:r w:rsidRPr="00C86056">
      <w:rPr>
        <w:rFonts w:ascii="Times New Roman" w:hAnsi="Times New Roman" w:cs="Times New Roman"/>
        <w:b/>
        <w:sz w:val="20"/>
        <w:szCs w:val="20"/>
        <w:u w:val="single"/>
      </w:rPr>
      <w:t>KJLS                                                                                                  VOL. XI (2)</w:t>
    </w:r>
  </w:p>
  <w:p w:rsidR="00C86056" w:rsidRPr="00C86056" w:rsidRDefault="00C86056">
    <w:pPr>
      <w:pStyle w:val="Header"/>
      <w:rPr>
        <w:rFonts w:ascii="Times New Roman" w:hAnsi="Times New Roman" w:cs="Times New Roman"/>
        <w:b/>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6A" w:rsidRDefault="00C9776A">
    <w:pPr>
      <w:pStyle w:val="Header"/>
      <w:rPr>
        <w:rFonts w:ascii="Times New Roman" w:hAnsi="Times New Roman" w:cs="Times New Roman"/>
        <w:b/>
        <w:sz w:val="20"/>
        <w:szCs w:val="20"/>
        <w:u w:val="single"/>
      </w:rPr>
    </w:pPr>
    <w:r w:rsidRPr="00C9776A">
      <w:rPr>
        <w:rFonts w:ascii="Times New Roman" w:hAnsi="Times New Roman" w:cs="Times New Roman"/>
        <w:b/>
        <w:sz w:val="20"/>
        <w:szCs w:val="20"/>
        <w:u w:val="single"/>
      </w:rPr>
      <w:t xml:space="preserve">Navigating Crossroads of </w:t>
    </w:r>
    <w:r w:rsidRPr="00C9776A">
      <w:rPr>
        <w:rFonts w:ascii="Times New Roman" w:hAnsi="Times New Roman" w:cs="Times New Roman"/>
        <w:b/>
        <w:bCs/>
        <w:sz w:val="20"/>
        <w:szCs w:val="20"/>
        <w:u w:val="single"/>
      </w:rPr>
      <w:t>Consensual Adolescent Relationships </w:t>
    </w:r>
    <w:r w:rsidRPr="00C9776A">
      <w:rPr>
        <w:rFonts w:ascii="Times New Roman" w:hAnsi="Times New Roman" w:cs="Times New Roman"/>
        <w:b/>
        <w:sz w:val="20"/>
        <w:szCs w:val="20"/>
        <w:u w:val="single"/>
      </w:rPr>
      <w:t>And Sexual</w:t>
    </w:r>
  </w:p>
  <w:p w:rsidR="00C9776A" w:rsidRPr="00C9776A" w:rsidRDefault="00C9776A">
    <w:pPr>
      <w:pStyle w:val="Header"/>
      <w:rPr>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704"/>
    <w:multiLevelType w:val="hybridMultilevel"/>
    <w:tmpl w:val="39F870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26E2717"/>
    <w:multiLevelType w:val="multilevel"/>
    <w:tmpl w:val="ABA6B3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nsid w:val="12D068E2"/>
    <w:multiLevelType w:val="hybridMultilevel"/>
    <w:tmpl w:val="956A9ED4"/>
    <w:lvl w:ilvl="0" w:tplc="6B1C8562">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3BD4F74"/>
    <w:multiLevelType w:val="hybridMultilevel"/>
    <w:tmpl w:val="AF70E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F8423E0"/>
    <w:multiLevelType w:val="hybridMultilevel"/>
    <w:tmpl w:val="E44CF112"/>
    <w:lvl w:ilvl="0" w:tplc="40090001">
      <w:start w:val="1"/>
      <w:numFmt w:val="bullet"/>
      <w:lvlText w:val=""/>
      <w:lvlJc w:val="left"/>
      <w:pPr>
        <w:ind w:left="1622" w:hanging="360"/>
      </w:pPr>
      <w:rPr>
        <w:rFonts w:ascii="Symbol" w:hAnsi="Symbol" w:hint="default"/>
      </w:rPr>
    </w:lvl>
    <w:lvl w:ilvl="1" w:tplc="40090003" w:tentative="1">
      <w:start w:val="1"/>
      <w:numFmt w:val="bullet"/>
      <w:lvlText w:val="o"/>
      <w:lvlJc w:val="left"/>
      <w:pPr>
        <w:ind w:left="2342" w:hanging="360"/>
      </w:pPr>
      <w:rPr>
        <w:rFonts w:ascii="Courier New" w:hAnsi="Courier New" w:cs="Courier New" w:hint="default"/>
      </w:rPr>
    </w:lvl>
    <w:lvl w:ilvl="2" w:tplc="40090005" w:tentative="1">
      <w:start w:val="1"/>
      <w:numFmt w:val="bullet"/>
      <w:lvlText w:val=""/>
      <w:lvlJc w:val="left"/>
      <w:pPr>
        <w:ind w:left="3062" w:hanging="360"/>
      </w:pPr>
      <w:rPr>
        <w:rFonts w:ascii="Wingdings" w:hAnsi="Wingdings" w:hint="default"/>
      </w:rPr>
    </w:lvl>
    <w:lvl w:ilvl="3" w:tplc="40090001" w:tentative="1">
      <w:start w:val="1"/>
      <w:numFmt w:val="bullet"/>
      <w:lvlText w:val=""/>
      <w:lvlJc w:val="left"/>
      <w:pPr>
        <w:ind w:left="3782" w:hanging="360"/>
      </w:pPr>
      <w:rPr>
        <w:rFonts w:ascii="Symbol" w:hAnsi="Symbol" w:hint="default"/>
      </w:rPr>
    </w:lvl>
    <w:lvl w:ilvl="4" w:tplc="40090003" w:tentative="1">
      <w:start w:val="1"/>
      <w:numFmt w:val="bullet"/>
      <w:lvlText w:val="o"/>
      <w:lvlJc w:val="left"/>
      <w:pPr>
        <w:ind w:left="4502" w:hanging="360"/>
      </w:pPr>
      <w:rPr>
        <w:rFonts w:ascii="Courier New" w:hAnsi="Courier New" w:cs="Courier New" w:hint="default"/>
      </w:rPr>
    </w:lvl>
    <w:lvl w:ilvl="5" w:tplc="40090005" w:tentative="1">
      <w:start w:val="1"/>
      <w:numFmt w:val="bullet"/>
      <w:lvlText w:val=""/>
      <w:lvlJc w:val="left"/>
      <w:pPr>
        <w:ind w:left="5222" w:hanging="360"/>
      </w:pPr>
      <w:rPr>
        <w:rFonts w:ascii="Wingdings" w:hAnsi="Wingdings" w:hint="default"/>
      </w:rPr>
    </w:lvl>
    <w:lvl w:ilvl="6" w:tplc="40090001" w:tentative="1">
      <w:start w:val="1"/>
      <w:numFmt w:val="bullet"/>
      <w:lvlText w:val=""/>
      <w:lvlJc w:val="left"/>
      <w:pPr>
        <w:ind w:left="5942" w:hanging="360"/>
      </w:pPr>
      <w:rPr>
        <w:rFonts w:ascii="Symbol" w:hAnsi="Symbol" w:hint="default"/>
      </w:rPr>
    </w:lvl>
    <w:lvl w:ilvl="7" w:tplc="40090003" w:tentative="1">
      <w:start w:val="1"/>
      <w:numFmt w:val="bullet"/>
      <w:lvlText w:val="o"/>
      <w:lvlJc w:val="left"/>
      <w:pPr>
        <w:ind w:left="6662" w:hanging="360"/>
      </w:pPr>
      <w:rPr>
        <w:rFonts w:ascii="Courier New" w:hAnsi="Courier New" w:cs="Courier New" w:hint="default"/>
      </w:rPr>
    </w:lvl>
    <w:lvl w:ilvl="8" w:tplc="40090005" w:tentative="1">
      <w:start w:val="1"/>
      <w:numFmt w:val="bullet"/>
      <w:lvlText w:val=""/>
      <w:lvlJc w:val="left"/>
      <w:pPr>
        <w:ind w:left="7382" w:hanging="360"/>
      </w:pPr>
      <w:rPr>
        <w:rFonts w:ascii="Wingdings" w:hAnsi="Wingdings" w:hint="default"/>
      </w:rPr>
    </w:lvl>
  </w:abstractNum>
  <w:abstractNum w:abstractNumId="5">
    <w:nsid w:val="35843E8F"/>
    <w:multiLevelType w:val="multilevel"/>
    <w:tmpl w:val="50DEE32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nsid w:val="3C1704D9"/>
    <w:multiLevelType w:val="hybridMultilevel"/>
    <w:tmpl w:val="676E57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4AD92809"/>
    <w:multiLevelType w:val="multilevel"/>
    <w:tmpl w:val="8A487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A0156F"/>
    <w:multiLevelType w:val="hybridMultilevel"/>
    <w:tmpl w:val="78C0DA66"/>
    <w:lvl w:ilvl="0" w:tplc="45CC1394">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1AD2732"/>
    <w:multiLevelType w:val="hybridMultilevel"/>
    <w:tmpl w:val="BFFE0538"/>
    <w:lvl w:ilvl="0" w:tplc="40090001">
      <w:start w:val="1"/>
      <w:numFmt w:val="bullet"/>
      <w:lvlText w:val=""/>
      <w:lvlJc w:val="left"/>
      <w:pPr>
        <w:ind w:left="1684" w:hanging="360"/>
      </w:pPr>
      <w:rPr>
        <w:rFonts w:ascii="Symbol" w:hAnsi="Symbol" w:hint="default"/>
      </w:rPr>
    </w:lvl>
    <w:lvl w:ilvl="1" w:tplc="40090003" w:tentative="1">
      <w:start w:val="1"/>
      <w:numFmt w:val="bullet"/>
      <w:lvlText w:val="o"/>
      <w:lvlJc w:val="left"/>
      <w:pPr>
        <w:ind w:left="2404" w:hanging="360"/>
      </w:pPr>
      <w:rPr>
        <w:rFonts w:ascii="Courier New" w:hAnsi="Courier New" w:cs="Courier New" w:hint="default"/>
      </w:rPr>
    </w:lvl>
    <w:lvl w:ilvl="2" w:tplc="40090005" w:tentative="1">
      <w:start w:val="1"/>
      <w:numFmt w:val="bullet"/>
      <w:lvlText w:val=""/>
      <w:lvlJc w:val="left"/>
      <w:pPr>
        <w:ind w:left="3124" w:hanging="360"/>
      </w:pPr>
      <w:rPr>
        <w:rFonts w:ascii="Wingdings" w:hAnsi="Wingdings" w:hint="default"/>
      </w:rPr>
    </w:lvl>
    <w:lvl w:ilvl="3" w:tplc="40090001" w:tentative="1">
      <w:start w:val="1"/>
      <w:numFmt w:val="bullet"/>
      <w:lvlText w:val=""/>
      <w:lvlJc w:val="left"/>
      <w:pPr>
        <w:ind w:left="3844" w:hanging="360"/>
      </w:pPr>
      <w:rPr>
        <w:rFonts w:ascii="Symbol" w:hAnsi="Symbol" w:hint="default"/>
      </w:rPr>
    </w:lvl>
    <w:lvl w:ilvl="4" w:tplc="40090003" w:tentative="1">
      <w:start w:val="1"/>
      <w:numFmt w:val="bullet"/>
      <w:lvlText w:val="o"/>
      <w:lvlJc w:val="left"/>
      <w:pPr>
        <w:ind w:left="4564" w:hanging="360"/>
      </w:pPr>
      <w:rPr>
        <w:rFonts w:ascii="Courier New" w:hAnsi="Courier New" w:cs="Courier New" w:hint="default"/>
      </w:rPr>
    </w:lvl>
    <w:lvl w:ilvl="5" w:tplc="40090005" w:tentative="1">
      <w:start w:val="1"/>
      <w:numFmt w:val="bullet"/>
      <w:lvlText w:val=""/>
      <w:lvlJc w:val="left"/>
      <w:pPr>
        <w:ind w:left="5284" w:hanging="360"/>
      </w:pPr>
      <w:rPr>
        <w:rFonts w:ascii="Wingdings" w:hAnsi="Wingdings" w:hint="default"/>
      </w:rPr>
    </w:lvl>
    <w:lvl w:ilvl="6" w:tplc="40090001" w:tentative="1">
      <w:start w:val="1"/>
      <w:numFmt w:val="bullet"/>
      <w:lvlText w:val=""/>
      <w:lvlJc w:val="left"/>
      <w:pPr>
        <w:ind w:left="6004" w:hanging="360"/>
      </w:pPr>
      <w:rPr>
        <w:rFonts w:ascii="Symbol" w:hAnsi="Symbol" w:hint="default"/>
      </w:rPr>
    </w:lvl>
    <w:lvl w:ilvl="7" w:tplc="40090003" w:tentative="1">
      <w:start w:val="1"/>
      <w:numFmt w:val="bullet"/>
      <w:lvlText w:val="o"/>
      <w:lvlJc w:val="left"/>
      <w:pPr>
        <w:ind w:left="6724" w:hanging="360"/>
      </w:pPr>
      <w:rPr>
        <w:rFonts w:ascii="Courier New" w:hAnsi="Courier New" w:cs="Courier New" w:hint="default"/>
      </w:rPr>
    </w:lvl>
    <w:lvl w:ilvl="8" w:tplc="40090005" w:tentative="1">
      <w:start w:val="1"/>
      <w:numFmt w:val="bullet"/>
      <w:lvlText w:val=""/>
      <w:lvlJc w:val="left"/>
      <w:pPr>
        <w:ind w:left="7444" w:hanging="360"/>
      </w:pPr>
      <w:rPr>
        <w:rFonts w:ascii="Wingdings" w:hAnsi="Wingdings" w:hint="default"/>
      </w:rPr>
    </w:lvl>
  </w:abstractNum>
  <w:abstractNum w:abstractNumId="10">
    <w:nsid w:val="56E972C2"/>
    <w:multiLevelType w:val="multilevel"/>
    <w:tmpl w:val="E0B2D2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552331"/>
    <w:multiLevelType w:val="multilevel"/>
    <w:tmpl w:val="7012CD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7"/>
  </w:num>
  <w:num w:numId="3">
    <w:abstractNumId w:val="4"/>
  </w:num>
  <w:num w:numId="4">
    <w:abstractNumId w:val="9"/>
  </w:num>
  <w:num w:numId="5">
    <w:abstractNumId w:val="6"/>
  </w:num>
  <w:num w:numId="6">
    <w:abstractNumId w:val="3"/>
  </w:num>
  <w:num w:numId="7">
    <w:abstractNumId w:val="8"/>
  </w:num>
  <w:num w:numId="8">
    <w:abstractNumId w:val="2"/>
  </w:num>
  <w:num w:numId="9">
    <w:abstractNumId w:val="5"/>
  </w:num>
  <w:num w:numId="10">
    <w:abstractNumId w:val="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evenAndOddHeaders/>
  <w:characterSpacingControl w:val="doNotCompress"/>
  <w:hdrShapeDefaults>
    <o:shapedefaults v:ext="edit" spidmax="8194"/>
  </w:hdrShapeDefaults>
  <w:footnotePr>
    <w:footnote w:id="0"/>
    <w:footnote w:id="1"/>
  </w:footnotePr>
  <w:endnotePr>
    <w:endnote w:id="0"/>
    <w:endnote w:id="1"/>
  </w:endnotePr>
  <w:compat/>
  <w:rsids>
    <w:rsidRoot w:val="00637DE8"/>
    <w:rsid w:val="00001F9A"/>
    <w:rsid w:val="00003C07"/>
    <w:rsid w:val="000062C9"/>
    <w:rsid w:val="00011338"/>
    <w:rsid w:val="00013187"/>
    <w:rsid w:val="00016082"/>
    <w:rsid w:val="000216AF"/>
    <w:rsid w:val="0002376D"/>
    <w:rsid w:val="00034DF0"/>
    <w:rsid w:val="0003632D"/>
    <w:rsid w:val="00037E39"/>
    <w:rsid w:val="00040F23"/>
    <w:rsid w:val="00040F56"/>
    <w:rsid w:val="0004303A"/>
    <w:rsid w:val="000466AB"/>
    <w:rsid w:val="00054ECB"/>
    <w:rsid w:val="0005625A"/>
    <w:rsid w:val="00056288"/>
    <w:rsid w:val="00063BF2"/>
    <w:rsid w:val="00064578"/>
    <w:rsid w:val="000734D6"/>
    <w:rsid w:val="00076D2B"/>
    <w:rsid w:val="0007704E"/>
    <w:rsid w:val="00082133"/>
    <w:rsid w:val="00082622"/>
    <w:rsid w:val="00084E18"/>
    <w:rsid w:val="00085E33"/>
    <w:rsid w:val="000867C1"/>
    <w:rsid w:val="000868F6"/>
    <w:rsid w:val="00086B4A"/>
    <w:rsid w:val="00087ABC"/>
    <w:rsid w:val="00094466"/>
    <w:rsid w:val="0009542B"/>
    <w:rsid w:val="000971D9"/>
    <w:rsid w:val="000A27F9"/>
    <w:rsid w:val="000A28CC"/>
    <w:rsid w:val="000A5FA8"/>
    <w:rsid w:val="000B10DE"/>
    <w:rsid w:val="000B25CE"/>
    <w:rsid w:val="000B293B"/>
    <w:rsid w:val="000B30D4"/>
    <w:rsid w:val="000C0F58"/>
    <w:rsid w:val="000C1A94"/>
    <w:rsid w:val="000C3049"/>
    <w:rsid w:val="000C3A3D"/>
    <w:rsid w:val="000C3E88"/>
    <w:rsid w:val="000C4085"/>
    <w:rsid w:val="000D09F3"/>
    <w:rsid w:val="000D0D2B"/>
    <w:rsid w:val="000D5F6C"/>
    <w:rsid w:val="000D679A"/>
    <w:rsid w:val="000D76C4"/>
    <w:rsid w:val="000E1674"/>
    <w:rsid w:val="000F68EF"/>
    <w:rsid w:val="00101461"/>
    <w:rsid w:val="00101E6E"/>
    <w:rsid w:val="0010388A"/>
    <w:rsid w:val="00104FF5"/>
    <w:rsid w:val="00105283"/>
    <w:rsid w:val="00106930"/>
    <w:rsid w:val="001100A2"/>
    <w:rsid w:val="00110882"/>
    <w:rsid w:val="00111313"/>
    <w:rsid w:val="00113117"/>
    <w:rsid w:val="001144AC"/>
    <w:rsid w:val="00116AF4"/>
    <w:rsid w:val="0012260C"/>
    <w:rsid w:val="001228FA"/>
    <w:rsid w:val="001261FA"/>
    <w:rsid w:val="001267C9"/>
    <w:rsid w:val="00135412"/>
    <w:rsid w:val="001368E1"/>
    <w:rsid w:val="00137844"/>
    <w:rsid w:val="00140203"/>
    <w:rsid w:val="00140C81"/>
    <w:rsid w:val="0014268D"/>
    <w:rsid w:val="001436E6"/>
    <w:rsid w:val="00145AD7"/>
    <w:rsid w:val="00146012"/>
    <w:rsid w:val="00146A56"/>
    <w:rsid w:val="0015286B"/>
    <w:rsid w:val="00154475"/>
    <w:rsid w:val="001556CB"/>
    <w:rsid w:val="00155949"/>
    <w:rsid w:val="001614DC"/>
    <w:rsid w:val="00161F80"/>
    <w:rsid w:val="00165DDA"/>
    <w:rsid w:val="00166566"/>
    <w:rsid w:val="00171F44"/>
    <w:rsid w:val="00172F22"/>
    <w:rsid w:val="001732DC"/>
    <w:rsid w:val="00176E95"/>
    <w:rsid w:val="00181CCE"/>
    <w:rsid w:val="00182F2E"/>
    <w:rsid w:val="00183C3F"/>
    <w:rsid w:val="00183D24"/>
    <w:rsid w:val="001864DB"/>
    <w:rsid w:val="001867F6"/>
    <w:rsid w:val="00186AB1"/>
    <w:rsid w:val="001878E8"/>
    <w:rsid w:val="00191419"/>
    <w:rsid w:val="00191B1E"/>
    <w:rsid w:val="00192885"/>
    <w:rsid w:val="001B35E3"/>
    <w:rsid w:val="001B4F89"/>
    <w:rsid w:val="001C003B"/>
    <w:rsid w:val="001C331F"/>
    <w:rsid w:val="001C56BF"/>
    <w:rsid w:val="001D2B0E"/>
    <w:rsid w:val="001D50D0"/>
    <w:rsid w:val="001D5DB3"/>
    <w:rsid w:val="001D65E9"/>
    <w:rsid w:val="001D741F"/>
    <w:rsid w:val="001E332E"/>
    <w:rsid w:val="001E4F8C"/>
    <w:rsid w:val="001E70D4"/>
    <w:rsid w:val="001E727A"/>
    <w:rsid w:val="001F01F8"/>
    <w:rsid w:val="001F313E"/>
    <w:rsid w:val="001F7618"/>
    <w:rsid w:val="00200E23"/>
    <w:rsid w:val="00202CEE"/>
    <w:rsid w:val="00203A4E"/>
    <w:rsid w:val="002044A5"/>
    <w:rsid w:val="00204A74"/>
    <w:rsid w:val="00205805"/>
    <w:rsid w:val="002103F0"/>
    <w:rsid w:val="002116DF"/>
    <w:rsid w:val="0021227A"/>
    <w:rsid w:val="00213906"/>
    <w:rsid w:val="00214513"/>
    <w:rsid w:val="00214B19"/>
    <w:rsid w:val="002153F4"/>
    <w:rsid w:val="00221709"/>
    <w:rsid w:val="002229CF"/>
    <w:rsid w:val="00226E55"/>
    <w:rsid w:val="0022762A"/>
    <w:rsid w:val="002276F5"/>
    <w:rsid w:val="00230D76"/>
    <w:rsid w:val="00233170"/>
    <w:rsid w:val="002340F2"/>
    <w:rsid w:val="00234C7F"/>
    <w:rsid w:val="00237131"/>
    <w:rsid w:val="0024423D"/>
    <w:rsid w:val="00246B82"/>
    <w:rsid w:val="00247B4B"/>
    <w:rsid w:val="00255B3F"/>
    <w:rsid w:val="00257125"/>
    <w:rsid w:val="00257A8F"/>
    <w:rsid w:val="00257BA8"/>
    <w:rsid w:val="0026204A"/>
    <w:rsid w:val="0026240A"/>
    <w:rsid w:val="00262C22"/>
    <w:rsid w:val="00262F64"/>
    <w:rsid w:val="00263917"/>
    <w:rsid w:val="00264959"/>
    <w:rsid w:val="002655C6"/>
    <w:rsid w:val="00265BB1"/>
    <w:rsid w:val="00271B60"/>
    <w:rsid w:val="002731A0"/>
    <w:rsid w:val="0027528C"/>
    <w:rsid w:val="00280DC5"/>
    <w:rsid w:val="0028339C"/>
    <w:rsid w:val="00285578"/>
    <w:rsid w:val="0028608D"/>
    <w:rsid w:val="002860B7"/>
    <w:rsid w:val="00286DA7"/>
    <w:rsid w:val="002876D1"/>
    <w:rsid w:val="00287C35"/>
    <w:rsid w:val="002931AE"/>
    <w:rsid w:val="00296434"/>
    <w:rsid w:val="002A059C"/>
    <w:rsid w:val="002A0875"/>
    <w:rsid w:val="002A23AA"/>
    <w:rsid w:val="002A3380"/>
    <w:rsid w:val="002B1BFA"/>
    <w:rsid w:val="002B56C4"/>
    <w:rsid w:val="002C015C"/>
    <w:rsid w:val="002C05B8"/>
    <w:rsid w:val="002C2AEE"/>
    <w:rsid w:val="002C4773"/>
    <w:rsid w:val="002C4E08"/>
    <w:rsid w:val="002D43E4"/>
    <w:rsid w:val="002D52B9"/>
    <w:rsid w:val="002D5D7F"/>
    <w:rsid w:val="002E0103"/>
    <w:rsid w:val="002E0E8C"/>
    <w:rsid w:val="002E4171"/>
    <w:rsid w:val="002F0C55"/>
    <w:rsid w:val="002F27E4"/>
    <w:rsid w:val="002F3A3B"/>
    <w:rsid w:val="002F5E4A"/>
    <w:rsid w:val="002F6DDD"/>
    <w:rsid w:val="00300A67"/>
    <w:rsid w:val="003026C6"/>
    <w:rsid w:val="00302A0E"/>
    <w:rsid w:val="00310237"/>
    <w:rsid w:val="00316B6B"/>
    <w:rsid w:val="00317FF1"/>
    <w:rsid w:val="0032028B"/>
    <w:rsid w:val="0032087A"/>
    <w:rsid w:val="0032315F"/>
    <w:rsid w:val="00323617"/>
    <w:rsid w:val="0032478F"/>
    <w:rsid w:val="003310BA"/>
    <w:rsid w:val="00331DA4"/>
    <w:rsid w:val="00332B99"/>
    <w:rsid w:val="00333491"/>
    <w:rsid w:val="00340726"/>
    <w:rsid w:val="0034229D"/>
    <w:rsid w:val="00343F68"/>
    <w:rsid w:val="00353159"/>
    <w:rsid w:val="003549A4"/>
    <w:rsid w:val="00354B2A"/>
    <w:rsid w:val="00355F90"/>
    <w:rsid w:val="00356A3E"/>
    <w:rsid w:val="00361C46"/>
    <w:rsid w:val="00366F4B"/>
    <w:rsid w:val="00373677"/>
    <w:rsid w:val="003753D9"/>
    <w:rsid w:val="003769FF"/>
    <w:rsid w:val="00377BC6"/>
    <w:rsid w:val="00377DE3"/>
    <w:rsid w:val="00381BC3"/>
    <w:rsid w:val="003865D9"/>
    <w:rsid w:val="00391753"/>
    <w:rsid w:val="00395460"/>
    <w:rsid w:val="0039658D"/>
    <w:rsid w:val="00396838"/>
    <w:rsid w:val="003A009F"/>
    <w:rsid w:val="003A01D6"/>
    <w:rsid w:val="003A16F8"/>
    <w:rsid w:val="003A27EA"/>
    <w:rsid w:val="003A3C57"/>
    <w:rsid w:val="003B0507"/>
    <w:rsid w:val="003B47B1"/>
    <w:rsid w:val="003B58B4"/>
    <w:rsid w:val="003B5AC8"/>
    <w:rsid w:val="003C452C"/>
    <w:rsid w:val="003C6166"/>
    <w:rsid w:val="003C6297"/>
    <w:rsid w:val="003C6AD8"/>
    <w:rsid w:val="003D0B79"/>
    <w:rsid w:val="003D117E"/>
    <w:rsid w:val="003D2D42"/>
    <w:rsid w:val="003D6662"/>
    <w:rsid w:val="003D6F5B"/>
    <w:rsid w:val="003E5C9D"/>
    <w:rsid w:val="003F4B3D"/>
    <w:rsid w:val="00401CBF"/>
    <w:rsid w:val="00406429"/>
    <w:rsid w:val="0041165A"/>
    <w:rsid w:val="004131B3"/>
    <w:rsid w:val="00414172"/>
    <w:rsid w:val="0042651E"/>
    <w:rsid w:val="00426559"/>
    <w:rsid w:val="00430443"/>
    <w:rsid w:val="00430813"/>
    <w:rsid w:val="00433864"/>
    <w:rsid w:val="00434265"/>
    <w:rsid w:val="00436C41"/>
    <w:rsid w:val="00441A54"/>
    <w:rsid w:val="00443B58"/>
    <w:rsid w:val="004447B5"/>
    <w:rsid w:val="00447086"/>
    <w:rsid w:val="004505B8"/>
    <w:rsid w:val="00451702"/>
    <w:rsid w:val="00451A71"/>
    <w:rsid w:val="00453B8F"/>
    <w:rsid w:val="00453DB6"/>
    <w:rsid w:val="00455A17"/>
    <w:rsid w:val="00457EC1"/>
    <w:rsid w:val="004607BF"/>
    <w:rsid w:val="00461555"/>
    <w:rsid w:val="004631AF"/>
    <w:rsid w:val="00467C23"/>
    <w:rsid w:val="004736DE"/>
    <w:rsid w:val="00475861"/>
    <w:rsid w:val="00475ACB"/>
    <w:rsid w:val="00480288"/>
    <w:rsid w:val="00480625"/>
    <w:rsid w:val="00492255"/>
    <w:rsid w:val="0049240C"/>
    <w:rsid w:val="0049247F"/>
    <w:rsid w:val="004941E7"/>
    <w:rsid w:val="004A345A"/>
    <w:rsid w:val="004A458A"/>
    <w:rsid w:val="004A4B7B"/>
    <w:rsid w:val="004A653C"/>
    <w:rsid w:val="004A6AA6"/>
    <w:rsid w:val="004A746E"/>
    <w:rsid w:val="004B58B2"/>
    <w:rsid w:val="004B6C2A"/>
    <w:rsid w:val="004B6FED"/>
    <w:rsid w:val="004C0666"/>
    <w:rsid w:val="004C0FFF"/>
    <w:rsid w:val="004C2F11"/>
    <w:rsid w:val="004C5BBB"/>
    <w:rsid w:val="004D2BEE"/>
    <w:rsid w:val="004D2D89"/>
    <w:rsid w:val="004D4217"/>
    <w:rsid w:val="004D489E"/>
    <w:rsid w:val="004D4A94"/>
    <w:rsid w:val="004D7898"/>
    <w:rsid w:val="004E028A"/>
    <w:rsid w:val="004E0574"/>
    <w:rsid w:val="004E5A5E"/>
    <w:rsid w:val="004E6C77"/>
    <w:rsid w:val="004F22BD"/>
    <w:rsid w:val="004F2B59"/>
    <w:rsid w:val="004F7A6B"/>
    <w:rsid w:val="00501CF8"/>
    <w:rsid w:val="00503A1A"/>
    <w:rsid w:val="00515048"/>
    <w:rsid w:val="00515AC0"/>
    <w:rsid w:val="00521AEB"/>
    <w:rsid w:val="00521E9D"/>
    <w:rsid w:val="00524146"/>
    <w:rsid w:val="005248A9"/>
    <w:rsid w:val="00524ABC"/>
    <w:rsid w:val="0052746F"/>
    <w:rsid w:val="00533CC9"/>
    <w:rsid w:val="00534F82"/>
    <w:rsid w:val="005357F9"/>
    <w:rsid w:val="00544A55"/>
    <w:rsid w:val="005505C8"/>
    <w:rsid w:val="00551E2E"/>
    <w:rsid w:val="005556B7"/>
    <w:rsid w:val="00555809"/>
    <w:rsid w:val="005622B5"/>
    <w:rsid w:val="0056619E"/>
    <w:rsid w:val="00571027"/>
    <w:rsid w:val="00571545"/>
    <w:rsid w:val="00572D14"/>
    <w:rsid w:val="005879F7"/>
    <w:rsid w:val="005918FA"/>
    <w:rsid w:val="00592FCD"/>
    <w:rsid w:val="005A1767"/>
    <w:rsid w:val="005A1F0D"/>
    <w:rsid w:val="005A227B"/>
    <w:rsid w:val="005A44C0"/>
    <w:rsid w:val="005B0B27"/>
    <w:rsid w:val="005B3696"/>
    <w:rsid w:val="005B48C3"/>
    <w:rsid w:val="005C203A"/>
    <w:rsid w:val="005C5FB7"/>
    <w:rsid w:val="005C66E9"/>
    <w:rsid w:val="005C7998"/>
    <w:rsid w:val="005D0293"/>
    <w:rsid w:val="005D071C"/>
    <w:rsid w:val="005D12CF"/>
    <w:rsid w:val="005D6363"/>
    <w:rsid w:val="005D72B3"/>
    <w:rsid w:val="005D7B24"/>
    <w:rsid w:val="005E1D93"/>
    <w:rsid w:val="005E2E1B"/>
    <w:rsid w:val="005E3FA4"/>
    <w:rsid w:val="005E4310"/>
    <w:rsid w:val="005E616D"/>
    <w:rsid w:val="005E6A78"/>
    <w:rsid w:val="005E7620"/>
    <w:rsid w:val="005F1AA2"/>
    <w:rsid w:val="005F2574"/>
    <w:rsid w:val="005F27E4"/>
    <w:rsid w:val="005F304E"/>
    <w:rsid w:val="00600D52"/>
    <w:rsid w:val="00600DBA"/>
    <w:rsid w:val="0060341A"/>
    <w:rsid w:val="0060595F"/>
    <w:rsid w:val="006066F8"/>
    <w:rsid w:val="0061112C"/>
    <w:rsid w:val="00611643"/>
    <w:rsid w:val="00612EAF"/>
    <w:rsid w:val="0061504F"/>
    <w:rsid w:val="00616732"/>
    <w:rsid w:val="00620B4F"/>
    <w:rsid w:val="0062161C"/>
    <w:rsid w:val="006250CE"/>
    <w:rsid w:val="0062591C"/>
    <w:rsid w:val="006262E6"/>
    <w:rsid w:val="006270E5"/>
    <w:rsid w:val="00627282"/>
    <w:rsid w:val="00627DE8"/>
    <w:rsid w:val="006353A1"/>
    <w:rsid w:val="00635470"/>
    <w:rsid w:val="00637DE8"/>
    <w:rsid w:val="00640334"/>
    <w:rsid w:val="00644F05"/>
    <w:rsid w:val="00661AB9"/>
    <w:rsid w:val="00661E44"/>
    <w:rsid w:val="00663313"/>
    <w:rsid w:val="00664A6C"/>
    <w:rsid w:val="00671117"/>
    <w:rsid w:val="00676FD9"/>
    <w:rsid w:val="006936B4"/>
    <w:rsid w:val="00693FB6"/>
    <w:rsid w:val="006A0F45"/>
    <w:rsid w:val="006A234B"/>
    <w:rsid w:val="006A2A1F"/>
    <w:rsid w:val="006A372F"/>
    <w:rsid w:val="006A4B96"/>
    <w:rsid w:val="006A63C8"/>
    <w:rsid w:val="006A6690"/>
    <w:rsid w:val="006A69FC"/>
    <w:rsid w:val="006A6FDF"/>
    <w:rsid w:val="006B3B67"/>
    <w:rsid w:val="006B4119"/>
    <w:rsid w:val="006B5637"/>
    <w:rsid w:val="006B6781"/>
    <w:rsid w:val="006B7542"/>
    <w:rsid w:val="006C0A0C"/>
    <w:rsid w:val="006C0FBC"/>
    <w:rsid w:val="006C1AA9"/>
    <w:rsid w:val="006C1E5C"/>
    <w:rsid w:val="006C275D"/>
    <w:rsid w:val="006C2D92"/>
    <w:rsid w:val="006C5D9A"/>
    <w:rsid w:val="006D0EEF"/>
    <w:rsid w:val="006D6258"/>
    <w:rsid w:val="006D6F80"/>
    <w:rsid w:val="006D7951"/>
    <w:rsid w:val="006E1FFA"/>
    <w:rsid w:val="006E25D0"/>
    <w:rsid w:val="006E45AD"/>
    <w:rsid w:val="006E528C"/>
    <w:rsid w:val="006E6311"/>
    <w:rsid w:val="006E66D7"/>
    <w:rsid w:val="006E6CEC"/>
    <w:rsid w:val="006F10AE"/>
    <w:rsid w:val="006F1785"/>
    <w:rsid w:val="006F3573"/>
    <w:rsid w:val="006F6809"/>
    <w:rsid w:val="0070111B"/>
    <w:rsid w:val="0070737E"/>
    <w:rsid w:val="0071050A"/>
    <w:rsid w:val="007110EB"/>
    <w:rsid w:val="007116B2"/>
    <w:rsid w:val="00721BBD"/>
    <w:rsid w:val="007223F3"/>
    <w:rsid w:val="007260D6"/>
    <w:rsid w:val="00730173"/>
    <w:rsid w:val="00732631"/>
    <w:rsid w:val="00737346"/>
    <w:rsid w:val="0074192E"/>
    <w:rsid w:val="00744045"/>
    <w:rsid w:val="00745BDA"/>
    <w:rsid w:val="00753098"/>
    <w:rsid w:val="00755555"/>
    <w:rsid w:val="00763499"/>
    <w:rsid w:val="00766764"/>
    <w:rsid w:val="007726D1"/>
    <w:rsid w:val="00773378"/>
    <w:rsid w:val="00774C9E"/>
    <w:rsid w:val="00777130"/>
    <w:rsid w:val="00780B87"/>
    <w:rsid w:val="007813FB"/>
    <w:rsid w:val="00781A5C"/>
    <w:rsid w:val="0078402F"/>
    <w:rsid w:val="00784732"/>
    <w:rsid w:val="00786483"/>
    <w:rsid w:val="00787421"/>
    <w:rsid w:val="0079352A"/>
    <w:rsid w:val="007A4719"/>
    <w:rsid w:val="007A5EBC"/>
    <w:rsid w:val="007B0386"/>
    <w:rsid w:val="007B2B5A"/>
    <w:rsid w:val="007B2DCD"/>
    <w:rsid w:val="007B5A55"/>
    <w:rsid w:val="007B6B92"/>
    <w:rsid w:val="007B7065"/>
    <w:rsid w:val="007C0004"/>
    <w:rsid w:val="007C2BDA"/>
    <w:rsid w:val="007C3EBA"/>
    <w:rsid w:val="007C4044"/>
    <w:rsid w:val="007D4694"/>
    <w:rsid w:val="007D5368"/>
    <w:rsid w:val="007D551D"/>
    <w:rsid w:val="007D5995"/>
    <w:rsid w:val="007D6788"/>
    <w:rsid w:val="007D6D03"/>
    <w:rsid w:val="007E1079"/>
    <w:rsid w:val="007E277D"/>
    <w:rsid w:val="007E34FB"/>
    <w:rsid w:val="007E350D"/>
    <w:rsid w:val="007E507D"/>
    <w:rsid w:val="007E6FE0"/>
    <w:rsid w:val="007E71A5"/>
    <w:rsid w:val="007F1772"/>
    <w:rsid w:val="007F29B6"/>
    <w:rsid w:val="007F34FA"/>
    <w:rsid w:val="007F410C"/>
    <w:rsid w:val="007F59B7"/>
    <w:rsid w:val="00802CBE"/>
    <w:rsid w:val="00802F99"/>
    <w:rsid w:val="00802FF2"/>
    <w:rsid w:val="00803186"/>
    <w:rsid w:val="00804E81"/>
    <w:rsid w:val="0080584C"/>
    <w:rsid w:val="00806217"/>
    <w:rsid w:val="00806D7A"/>
    <w:rsid w:val="00814D7D"/>
    <w:rsid w:val="00820536"/>
    <w:rsid w:val="00821AC2"/>
    <w:rsid w:val="0082202E"/>
    <w:rsid w:val="0082247C"/>
    <w:rsid w:val="00824801"/>
    <w:rsid w:val="0082699F"/>
    <w:rsid w:val="00827A8E"/>
    <w:rsid w:val="00834C40"/>
    <w:rsid w:val="008408A7"/>
    <w:rsid w:val="00841B97"/>
    <w:rsid w:val="00842480"/>
    <w:rsid w:val="00842A1E"/>
    <w:rsid w:val="00844704"/>
    <w:rsid w:val="00845342"/>
    <w:rsid w:val="00846BF5"/>
    <w:rsid w:val="00851F64"/>
    <w:rsid w:val="0085730D"/>
    <w:rsid w:val="008575E8"/>
    <w:rsid w:val="00861907"/>
    <w:rsid w:val="00864A41"/>
    <w:rsid w:val="008739F1"/>
    <w:rsid w:val="00874DBD"/>
    <w:rsid w:val="00882D65"/>
    <w:rsid w:val="00885F1C"/>
    <w:rsid w:val="00891623"/>
    <w:rsid w:val="008920AD"/>
    <w:rsid w:val="00893A24"/>
    <w:rsid w:val="00894E33"/>
    <w:rsid w:val="008A29BB"/>
    <w:rsid w:val="008A4FC6"/>
    <w:rsid w:val="008A616F"/>
    <w:rsid w:val="008A6B0B"/>
    <w:rsid w:val="008A7F63"/>
    <w:rsid w:val="008B0A20"/>
    <w:rsid w:val="008B4027"/>
    <w:rsid w:val="008B572B"/>
    <w:rsid w:val="008C57E0"/>
    <w:rsid w:val="008C59ED"/>
    <w:rsid w:val="008C5E6C"/>
    <w:rsid w:val="008C702F"/>
    <w:rsid w:val="008C7479"/>
    <w:rsid w:val="008D08C6"/>
    <w:rsid w:val="008D236B"/>
    <w:rsid w:val="008D3D6A"/>
    <w:rsid w:val="008D50FB"/>
    <w:rsid w:val="008E00A2"/>
    <w:rsid w:val="008E1719"/>
    <w:rsid w:val="008E1C82"/>
    <w:rsid w:val="008E32A8"/>
    <w:rsid w:val="008E61BB"/>
    <w:rsid w:val="008F0EE3"/>
    <w:rsid w:val="008F38E7"/>
    <w:rsid w:val="008F48E0"/>
    <w:rsid w:val="008F4A22"/>
    <w:rsid w:val="008F696A"/>
    <w:rsid w:val="008F6D81"/>
    <w:rsid w:val="008F7856"/>
    <w:rsid w:val="0090131F"/>
    <w:rsid w:val="0091548C"/>
    <w:rsid w:val="009156CB"/>
    <w:rsid w:val="0092035F"/>
    <w:rsid w:val="009205C7"/>
    <w:rsid w:val="00923B3D"/>
    <w:rsid w:val="00924EEA"/>
    <w:rsid w:val="00925829"/>
    <w:rsid w:val="009400F7"/>
    <w:rsid w:val="00940AD5"/>
    <w:rsid w:val="00945105"/>
    <w:rsid w:val="00951A54"/>
    <w:rsid w:val="009523A2"/>
    <w:rsid w:val="0095485D"/>
    <w:rsid w:val="009549AB"/>
    <w:rsid w:val="00954EB4"/>
    <w:rsid w:val="0095657E"/>
    <w:rsid w:val="009624E5"/>
    <w:rsid w:val="00962872"/>
    <w:rsid w:val="00962E4E"/>
    <w:rsid w:val="00962F48"/>
    <w:rsid w:val="009632D0"/>
    <w:rsid w:val="0096603E"/>
    <w:rsid w:val="00966496"/>
    <w:rsid w:val="00967043"/>
    <w:rsid w:val="009710C3"/>
    <w:rsid w:val="00980023"/>
    <w:rsid w:val="00980450"/>
    <w:rsid w:val="009829AC"/>
    <w:rsid w:val="009833B4"/>
    <w:rsid w:val="00984C14"/>
    <w:rsid w:val="00986A85"/>
    <w:rsid w:val="0099030C"/>
    <w:rsid w:val="009903AE"/>
    <w:rsid w:val="00990979"/>
    <w:rsid w:val="00992543"/>
    <w:rsid w:val="00994830"/>
    <w:rsid w:val="0099524A"/>
    <w:rsid w:val="009A3732"/>
    <w:rsid w:val="009B45FD"/>
    <w:rsid w:val="009C38D5"/>
    <w:rsid w:val="009C51B4"/>
    <w:rsid w:val="009C7F46"/>
    <w:rsid w:val="009D5A10"/>
    <w:rsid w:val="009D6135"/>
    <w:rsid w:val="009D7C87"/>
    <w:rsid w:val="009E053D"/>
    <w:rsid w:val="009E22D5"/>
    <w:rsid w:val="009E43C5"/>
    <w:rsid w:val="009E78BE"/>
    <w:rsid w:val="009F0D26"/>
    <w:rsid w:val="009F3BA5"/>
    <w:rsid w:val="009F6DA9"/>
    <w:rsid w:val="00A04295"/>
    <w:rsid w:val="00A05E9A"/>
    <w:rsid w:val="00A1145B"/>
    <w:rsid w:val="00A16584"/>
    <w:rsid w:val="00A168AB"/>
    <w:rsid w:val="00A1712C"/>
    <w:rsid w:val="00A1751D"/>
    <w:rsid w:val="00A20F64"/>
    <w:rsid w:val="00A21F35"/>
    <w:rsid w:val="00A232DE"/>
    <w:rsid w:val="00A23AAA"/>
    <w:rsid w:val="00A25B7D"/>
    <w:rsid w:val="00A2692B"/>
    <w:rsid w:val="00A336FE"/>
    <w:rsid w:val="00A370A4"/>
    <w:rsid w:val="00A37250"/>
    <w:rsid w:val="00A4204A"/>
    <w:rsid w:val="00A43D3C"/>
    <w:rsid w:val="00A46B57"/>
    <w:rsid w:val="00A511EF"/>
    <w:rsid w:val="00A529A3"/>
    <w:rsid w:val="00A57ADF"/>
    <w:rsid w:val="00A607BE"/>
    <w:rsid w:val="00A61BAD"/>
    <w:rsid w:val="00A667B2"/>
    <w:rsid w:val="00A673AB"/>
    <w:rsid w:val="00A67DBE"/>
    <w:rsid w:val="00A76E9A"/>
    <w:rsid w:val="00A815D0"/>
    <w:rsid w:val="00A82355"/>
    <w:rsid w:val="00A85AD6"/>
    <w:rsid w:val="00A875EC"/>
    <w:rsid w:val="00A91036"/>
    <w:rsid w:val="00A91481"/>
    <w:rsid w:val="00A91837"/>
    <w:rsid w:val="00A918E2"/>
    <w:rsid w:val="00A93E46"/>
    <w:rsid w:val="00A953D7"/>
    <w:rsid w:val="00A95E91"/>
    <w:rsid w:val="00A96588"/>
    <w:rsid w:val="00A97EB9"/>
    <w:rsid w:val="00AA217B"/>
    <w:rsid w:val="00AA246E"/>
    <w:rsid w:val="00AA375A"/>
    <w:rsid w:val="00AB4A24"/>
    <w:rsid w:val="00AC022B"/>
    <w:rsid w:val="00AC0607"/>
    <w:rsid w:val="00AC1710"/>
    <w:rsid w:val="00AC2281"/>
    <w:rsid w:val="00AC4934"/>
    <w:rsid w:val="00AC77C8"/>
    <w:rsid w:val="00AD2C4F"/>
    <w:rsid w:val="00AD7723"/>
    <w:rsid w:val="00AE3D31"/>
    <w:rsid w:val="00AE7BF1"/>
    <w:rsid w:val="00AF1A44"/>
    <w:rsid w:val="00AF7357"/>
    <w:rsid w:val="00B0148F"/>
    <w:rsid w:val="00B03199"/>
    <w:rsid w:val="00B04E2B"/>
    <w:rsid w:val="00B06C3A"/>
    <w:rsid w:val="00B11175"/>
    <w:rsid w:val="00B11B65"/>
    <w:rsid w:val="00B20057"/>
    <w:rsid w:val="00B201B1"/>
    <w:rsid w:val="00B254ED"/>
    <w:rsid w:val="00B26094"/>
    <w:rsid w:val="00B27CFE"/>
    <w:rsid w:val="00B3085A"/>
    <w:rsid w:val="00B324C8"/>
    <w:rsid w:val="00B405F2"/>
    <w:rsid w:val="00B40D9B"/>
    <w:rsid w:val="00B4199C"/>
    <w:rsid w:val="00B42B0D"/>
    <w:rsid w:val="00B45ACA"/>
    <w:rsid w:val="00B46A00"/>
    <w:rsid w:val="00B52553"/>
    <w:rsid w:val="00B579AE"/>
    <w:rsid w:val="00B61871"/>
    <w:rsid w:val="00B67667"/>
    <w:rsid w:val="00B74247"/>
    <w:rsid w:val="00B80342"/>
    <w:rsid w:val="00B84365"/>
    <w:rsid w:val="00B84747"/>
    <w:rsid w:val="00B85439"/>
    <w:rsid w:val="00B85F42"/>
    <w:rsid w:val="00B86AF9"/>
    <w:rsid w:val="00B928F1"/>
    <w:rsid w:val="00B9301E"/>
    <w:rsid w:val="00B959A3"/>
    <w:rsid w:val="00B96A8D"/>
    <w:rsid w:val="00BA0B28"/>
    <w:rsid w:val="00BA30E9"/>
    <w:rsid w:val="00BA6436"/>
    <w:rsid w:val="00BB3397"/>
    <w:rsid w:val="00BB4F1A"/>
    <w:rsid w:val="00BB5A52"/>
    <w:rsid w:val="00BB5CED"/>
    <w:rsid w:val="00BB7F94"/>
    <w:rsid w:val="00BC0D31"/>
    <w:rsid w:val="00BC16D1"/>
    <w:rsid w:val="00BC21D3"/>
    <w:rsid w:val="00BC27CA"/>
    <w:rsid w:val="00BC76BD"/>
    <w:rsid w:val="00BD1434"/>
    <w:rsid w:val="00BD1ED9"/>
    <w:rsid w:val="00BD1F50"/>
    <w:rsid w:val="00BD3882"/>
    <w:rsid w:val="00BD5287"/>
    <w:rsid w:val="00BD5B95"/>
    <w:rsid w:val="00BD5BD2"/>
    <w:rsid w:val="00BD5D93"/>
    <w:rsid w:val="00BE09C5"/>
    <w:rsid w:val="00BE7FA2"/>
    <w:rsid w:val="00BF0CD9"/>
    <w:rsid w:val="00BF2C1E"/>
    <w:rsid w:val="00BF5AC5"/>
    <w:rsid w:val="00C0631B"/>
    <w:rsid w:val="00C0671F"/>
    <w:rsid w:val="00C10DA0"/>
    <w:rsid w:val="00C127AE"/>
    <w:rsid w:val="00C131E4"/>
    <w:rsid w:val="00C22CAF"/>
    <w:rsid w:val="00C230BF"/>
    <w:rsid w:val="00C240E0"/>
    <w:rsid w:val="00C24660"/>
    <w:rsid w:val="00C2642A"/>
    <w:rsid w:val="00C32F57"/>
    <w:rsid w:val="00C336D2"/>
    <w:rsid w:val="00C343D0"/>
    <w:rsid w:val="00C37574"/>
    <w:rsid w:val="00C37821"/>
    <w:rsid w:val="00C413CF"/>
    <w:rsid w:val="00C43420"/>
    <w:rsid w:val="00C50E9A"/>
    <w:rsid w:val="00C51C54"/>
    <w:rsid w:val="00C552B5"/>
    <w:rsid w:val="00C56E5A"/>
    <w:rsid w:val="00C608C5"/>
    <w:rsid w:val="00C6269E"/>
    <w:rsid w:val="00C639D4"/>
    <w:rsid w:val="00C703AA"/>
    <w:rsid w:val="00C751A4"/>
    <w:rsid w:val="00C75E18"/>
    <w:rsid w:val="00C7673E"/>
    <w:rsid w:val="00C775EA"/>
    <w:rsid w:val="00C80C58"/>
    <w:rsid w:val="00C83F09"/>
    <w:rsid w:val="00C86056"/>
    <w:rsid w:val="00C875D8"/>
    <w:rsid w:val="00C87E73"/>
    <w:rsid w:val="00C91246"/>
    <w:rsid w:val="00C913C0"/>
    <w:rsid w:val="00C9776A"/>
    <w:rsid w:val="00CA34E6"/>
    <w:rsid w:val="00CB1980"/>
    <w:rsid w:val="00CB519A"/>
    <w:rsid w:val="00CB652C"/>
    <w:rsid w:val="00CC7E91"/>
    <w:rsid w:val="00CD2F2F"/>
    <w:rsid w:val="00CE107E"/>
    <w:rsid w:val="00CE2559"/>
    <w:rsid w:val="00CE3EAA"/>
    <w:rsid w:val="00CF0C8E"/>
    <w:rsid w:val="00CF375B"/>
    <w:rsid w:val="00CF3864"/>
    <w:rsid w:val="00CF53C3"/>
    <w:rsid w:val="00CF640B"/>
    <w:rsid w:val="00CF7114"/>
    <w:rsid w:val="00D01D92"/>
    <w:rsid w:val="00D0292C"/>
    <w:rsid w:val="00D052A8"/>
    <w:rsid w:val="00D07B5D"/>
    <w:rsid w:val="00D07F68"/>
    <w:rsid w:val="00D17AE0"/>
    <w:rsid w:val="00D20F3F"/>
    <w:rsid w:val="00D21D2C"/>
    <w:rsid w:val="00D30DD9"/>
    <w:rsid w:val="00D32886"/>
    <w:rsid w:val="00D349A3"/>
    <w:rsid w:val="00D36D92"/>
    <w:rsid w:val="00D4484D"/>
    <w:rsid w:val="00D6049E"/>
    <w:rsid w:val="00D624DE"/>
    <w:rsid w:val="00D67627"/>
    <w:rsid w:val="00D67AEA"/>
    <w:rsid w:val="00D70494"/>
    <w:rsid w:val="00D70A9F"/>
    <w:rsid w:val="00D70E30"/>
    <w:rsid w:val="00D7559D"/>
    <w:rsid w:val="00D757A6"/>
    <w:rsid w:val="00D77C7F"/>
    <w:rsid w:val="00D800D2"/>
    <w:rsid w:val="00D8257F"/>
    <w:rsid w:val="00D841B6"/>
    <w:rsid w:val="00D864A5"/>
    <w:rsid w:val="00D87CBD"/>
    <w:rsid w:val="00D958D1"/>
    <w:rsid w:val="00D96193"/>
    <w:rsid w:val="00DA1190"/>
    <w:rsid w:val="00DA11EE"/>
    <w:rsid w:val="00DA214E"/>
    <w:rsid w:val="00DA4541"/>
    <w:rsid w:val="00DA50C0"/>
    <w:rsid w:val="00DB28EA"/>
    <w:rsid w:val="00DB37C1"/>
    <w:rsid w:val="00DB394F"/>
    <w:rsid w:val="00DB5E14"/>
    <w:rsid w:val="00DB6950"/>
    <w:rsid w:val="00DB7F9C"/>
    <w:rsid w:val="00DC2602"/>
    <w:rsid w:val="00DC4D19"/>
    <w:rsid w:val="00DC5500"/>
    <w:rsid w:val="00DD35C6"/>
    <w:rsid w:val="00DD56FA"/>
    <w:rsid w:val="00DE073C"/>
    <w:rsid w:val="00DE344A"/>
    <w:rsid w:val="00DE5753"/>
    <w:rsid w:val="00DE6329"/>
    <w:rsid w:val="00DE7353"/>
    <w:rsid w:val="00DF00AB"/>
    <w:rsid w:val="00DF280B"/>
    <w:rsid w:val="00DF7310"/>
    <w:rsid w:val="00E00130"/>
    <w:rsid w:val="00E0125C"/>
    <w:rsid w:val="00E0149F"/>
    <w:rsid w:val="00E0262C"/>
    <w:rsid w:val="00E06815"/>
    <w:rsid w:val="00E071CF"/>
    <w:rsid w:val="00E12BE0"/>
    <w:rsid w:val="00E16428"/>
    <w:rsid w:val="00E166FA"/>
    <w:rsid w:val="00E20890"/>
    <w:rsid w:val="00E21830"/>
    <w:rsid w:val="00E2393D"/>
    <w:rsid w:val="00E27F19"/>
    <w:rsid w:val="00E31A9C"/>
    <w:rsid w:val="00E35AB7"/>
    <w:rsid w:val="00E401BD"/>
    <w:rsid w:val="00E438EB"/>
    <w:rsid w:val="00E43A3E"/>
    <w:rsid w:val="00E4771B"/>
    <w:rsid w:val="00E4775D"/>
    <w:rsid w:val="00E51483"/>
    <w:rsid w:val="00E52CAE"/>
    <w:rsid w:val="00E567FD"/>
    <w:rsid w:val="00E572E4"/>
    <w:rsid w:val="00E60676"/>
    <w:rsid w:val="00E60BBA"/>
    <w:rsid w:val="00E621EE"/>
    <w:rsid w:val="00E630C5"/>
    <w:rsid w:val="00E63432"/>
    <w:rsid w:val="00E642C9"/>
    <w:rsid w:val="00E73EE4"/>
    <w:rsid w:val="00E802BD"/>
    <w:rsid w:val="00E81B1A"/>
    <w:rsid w:val="00E82396"/>
    <w:rsid w:val="00E859BC"/>
    <w:rsid w:val="00E86E31"/>
    <w:rsid w:val="00E87334"/>
    <w:rsid w:val="00E874E8"/>
    <w:rsid w:val="00E93B36"/>
    <w:rsid w:val="00E94242"/>
    <w:rsid w:val="00E9699F"/>
    <w:rsid w:val="00EA00A7"/>
    <w:rsid w:val="00EA43A7"/>
    <w:rsid w:val="00EA532F"/>
    <w:rsid w:val="00EA5E85"/>
    <w:rsid w:val="00EB16C9"/>
    <w:rsid w:val="00EB7FEA"/>
    <w:rsid w:val="00EC0DE9"/>
    <w:rsid w:val="00EC44C4"/>
    <w:rsid w:val="00EC5932"/>
    <w:rsid w:val="00ED1713"/>
    <w:rsid w:val="00ED1D71"/>
    <w:rsid w:val="00ED2857"/>
    <w:rsid w:val="00ED4362"/>
    <w:rsid w:val="00ED531A"/>
    <w:rsid w:val="00ED7966"/>
    <w:rsid w:val="00ED7E16"/>
    <w:rsid w:val="00EE4591"/>
    <w:rsid w:val="00EE5CB8"/>
    <w:rsid w:val="00EF3099"/>
    <w:rsid w:val="00EF5F63"/>
    <w:rsid w:val="00EF7645"/>
    <w:rsid w:val="00F02460"/>
    <w:rsid w:val="00F03004"/>
    <w:rsid w:val="00F04E05"/>
    <w:rsid w:val="00F05862"/>
    <w:rsid w:val="00F058AF"/>
    <w:rsid w:val="00F05EF2"/>
    <w:rsid w:val="00F079C1"/>
    <w:rsid w:val="00F105C5"/>
    <w:rsid w:val="00F12B58"/>
    <w:rsid w:val="00F202F7"/>
    <w:rsid w:val="00F20867"/>
    <w:rsid w:val="00F22E63"/>
    <w:rsid w:val="00F32564"/>
    <w:rsid w:val="00F37176"/>
    <w:rsid w:val="00F43E5A"/>
    <w:rsid w:val="00F4528C"/>
    <w:rsid w:val="00F50F1B"/>
    <w:rsid w:val="00F541B9"/>
    <w:rsid w:val="00F5769A"/>
    <w:rsid w:val="00F57F86"/>
    <w:rsid w:val="00F61C82"/>
    <w:rsid w:val="00F61F55"/>
    <w:rsid w:val="00F62525"/>
    <w:rsid w:val="00F63904"/>
    <w:rsid w:val="00F66293"/>
    <w:rsid w:val="00F74D50"/>
    <w:rsid w:val="00F75CAF"/>
    <w:rsid w:val="00F77186"/>
    <w:rsid w:val="00F83087"/>
    <w:rsid w:val="00F839B1"/>
    <w:rsid w:val="00F872CD"/>
    <w:rsid w:val="00F97D69"/>
    <w:rsid w:val="00FA2933"/>
    <w:rsid w:val="00FA4C5D"/>
    <w:rsid w:val="00FB04E8"/>
    <w:rsid w:val="00FB20C6"/>
    <w:rsid w:val="00FB5DFD"/>
    <w:rsid w:val="00FB753B"/>
    <w:rsid w:val="00FC1ED6"/>
    <w:rsid w:val="00FC6D8C"/>
    <w:rsid w:val="00FD2A9E"/>
    <w:rsid w:val="00FD483A"/>
    <w:rsid w:val="00FD7B13"/>
    <w:rsid w:val="00FE08BD"/>
    <w:rsid w:val="00FE1997"/>
    <w:rsid w:val="00FE639E"/>
    <w:rsid w:val="00FE6899"/>
    <w:rsid w:val="00FE6A17"/>
    <w:rsid w:val="00FE71C9"/>
    <w:rsid w:val="00FE758F"/>
    <w:rsid w:val="00FF22E0"/>
    <w:rsid w:val="00FF357F"/>
    <w:rsid w:val="00FF43C8"/>
    <w:rsid w:val="00FF5741"/>
    <w:rsid w:val="00FF5A22"/>
    <w:rsid w:val="00FF6BA5"/>
    <w:rsid w:val="00FF6C92"/>
    <w:rsid w:val="00FF7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B8"/>
  </w:style>
  <w:style w:type="paragraph" w:styleId="Heading1">
    <w:name w:val="heading 1"/>
    <w:basedOn w:val="Normal"/>
    <w:link w:val="Heading1Char"/>
    <w:uiPriority w:val="9"/>
    <w:qFormat/>
    <w:rsid w:val="00784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8619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304E"/>
    <w:pPr>
      <w:spacing w:after="0" w:line="240" w:lineRule="auto"/>
    </w:pPr>
    <w:rPr>
      <w:sz w:val="20"/>
      <w:szCs w:val="20"/>
    </w:rPr>
  </w:style>
  <w:style w:type="character" w:customStyle="1" w:styleId="FootnoteTextChar">
    <w:name w:val="Footnote Text Char"/>
    <w:basedOn w:val="DefaultParagraphFont"/>
    <w:link w:val="FootnoteText"/>
    <w:uiPriority w:val="99"/>
    <w:rsid w:val="005F304E"/>
    <w:rPr>
      <w:sz w:val="20"/>
      <w:szCs w:val="20"/>
    </w:rPr>
  </w:style>
  <w:style w:type="character" w:styleId="FootnoteReference">
    <w:name w:val="footnote reference"/>
    <w:basedOn w:val="DefaultParagraphFont"/>
    <w:uiPriority w:val="99"/>
    <w:semiHidden/>
    <w:unhideWhenUsed/>
    <w:rsid w:val="005F304E"/>
    <w:rPr>
      <w:vertAlign w:val="superscript"/>
    </w:rPr>
  </w:style>
  <w:style w:type="paragraph" w:styleId="ListParagraph">
    <w:name w:val="List Paragraph"/>
    <w:basedOn w:val="Normal"/>
    <w:uiPriority w:val="34"/>
    <w:qFormat/>
    <w:rsid w:val="00040F23"/>
    <w:pPr>
      <w:ind w:left="720"/>
      <w:contextualSpacing/>
    </w:pPr>
  </w:style>
  <w:style w:type="character" w:styleId="Hyperlink">
    <w:name w:val="Hyperlink"/>
    <w:basedOn w:val="DefaultParagraphFont"/>
    <w:uiPriority w:val="99"/>
    <w:unhideWhenUsed/>
    <w:rsid w:val="00135412"/>
    <w:rPr>
      <w:color w:val="0563C1" w:themeColor="hyperlink"/>
      <w:u w:val="single"/>
    </w:rPr>
  </w:style>
  <w:style w:type="character" w:customStyle="1" w:styleId="UnresolvedMention1">
    <w:name w:val="Unresolved Mention1"/>
    <w:basedOn w:val="DefaultParagraphFont"/>
    <w:uiPriority w:val="99"/>
    <w:semiHidden/>
    <w:unhideWhenUsed/>
    <w:rsid w:val="00135412"/>
    <w:rPr>
      <w:color w:val="605E5C"/>
      <w:shd w:val="clear" w:color="auto" w:fill="E1DFDD"/>
    </w:rPr>
  </w:style>
  <w:style w:type="paragraph" w:styleId="NormalWeb">
    <w:name w:val="Normal (Web)"/>
    <w:basedOn w:val="Normal"/>
    <w:uiPriority w:val="99"/>
    <w:semiHidden/>
    <w:unhideWhenUsed/>
    <w:rsid w:val="00271B6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71B60"/>
    <w:rPr>
      <w:i/>
      <w:iCs/>
    </w:rPr>
  </w:style>
  <w:style w:type="paragraph" w:styleId="HTMLPreformatted">
    <w:name w:val="HTML Preformatted"/>
    <w:basedOn w:val="Normal"/>
    <w:link w:val="HTMLPreformattedChar"/>
    <w:uiPriority w:val="99"/>
    <w:semiHidden/>
    <w:unhideWhenUsed/>
    <w:rsid w:val="00BD52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287"/>
    <w:rPr>
      <w:rFonts w:ascii="Consolas" w:hAnsi="Consolas"/>
      <w:sz w:val="20"/>
      <w:szCs w:val="20"/>
    </w:rPr>
  </w:style>
  <w:style w:type="character" w:customStyle="1" w:styleId="Heading4Char">
    <w:name w:val="Heading 4 Char"/>
    <w:basedOn w:val="DefaultParagraphFont"/>
    <w:link w:val="Heading4"/>
    <w:uiPriority w:val="9"/>
    <w:semiHidden/>
    <w:rsid w:val="0086190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A44C0"/>
    <w:rPr>
      <w:sz w:val="16"/>
      <w:szCs w:val="16"/>
    </w:rPr>
  </w:style>
  <w:style w:type="paragraph" w:styleId="CommentText">
    <w:name w:val="annotation text"/>
    <w:basedOn w:val="Normal"/>
    <w:link w:val="CommentTextChar"/>
    <w:uiPriority w:val="99"/>
    <w:semiHidden/>
    <w:unhideWhenUsed/>
    <w:rsid w:val="005A44C0"/>
    <w:pPr>
      <w:spacing w:line="240" w:lineRule="auto"/>
    </w:pPr>
    <w:rPr>
      <w:sz w:val="20"/>
      <w:szCs w:val="20"/>
    </w:rPr>
  </w:style>
  <w:style w:type="character" w:customStyle="1" w:styleId="CommentTextChar">
    <w:name w:val="Comment Text Char"/>
    <w:basedOn w:val="DefaultParagraphFont"/>
    <w:link w:val="CommentText"/>
    <w:uiPriority w:val="99"/>
    <w:semiHidden/>
    <w:rsid w:val="005A44C0"/>
    <w:rPr>
      <w:sz w:val="20"/>
      <w:szCs w:val="20"/>
    </w:rPr>
  </w:style>
  <w:style w:type="paragraph" w:styleId="CommentSubject">
    <w:name w:val="annotation subject"/>
    <w:basedOn w:val="CommentText"/>
    <w:next w:val="CommentText"/>
    <w:link w:val="CommentSubjectChar"/>
    <w:uiPriority w:val="99"/>
    <w:semiHidden/>
    <w:unhideWhenUsed/>
    <w:rsid w:val="005A44C0"/>
    <w:rPr>
      <w:b/>
      <w:bCs/>
    </w:rPr>
  </w:style>
  <w:style w:type="character" w:customStyle="1" w:styleId="CommentSubjectChar">
    <w:name w:val="Comment Subject Char"/>
    <w:basedOn w:val="CommentTextChar"/>
    <w:link w:val="CommentSubject"/>
    <w:uiPriority w:val="99"/>
    <w:semiHidden/>
    <w:rsid w:val="005A44C0"/>
    <w:rPr>
      <w:b/>
      <w:bCs/>
      <w:sz w:val="20"/>
      <w:szCs w:val="20"/>
    </w:rPr>
  </w:style>
  <w:style w:type="paragraph" w:styleId="BalloonText">
    <w:name w:val="Balloon Text"/>
    <w:basedOn w:val="Normal"/>
    <w:link w:val="BalloonTextChar"/>
    <w:uiPriority w:val="99"/>
    <w:semiHidden/>
    <w:unhideWhenUsed/>
    <w:rsid w:val="005A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4C0"/>
    <w:rPr>
      <w:rFonts w:ascii="Segoe UI" w:hAnsi="Segoe UI" w:cs="Segoe UI"/>
      <w:sz w:val="18"/>
      <w:szCs w:val="18"/>
    </w:rPr>
  </w:style>
  <w:style w:type="character" w:styleId="SubtleEmphasis">
    <w:name w:val="Subtle Emphasis"/>
    <w:basedOn w:val="DefaultParagraphFont"/>
    <w:uiPriority w:val="19"/>
    <w:qFormat/>
    <w:rsid w:val="006D6F80"/>
    <w:rPr>
      <w:i/>
      <w:iCs/>
      <w:color w:val="404040" w:themeColor="text1" w:themeTint="BF"/>
    </w:rPr>
  </w:style>
  <w:style w:type="character" w:customStyle="1" w:styleId="Heading1Char">
    <w:name w:val="Heading 1 Char"/>
    <w:basedOn w:val="DefaultParagraphFont"/>
    <w:link w:val="Heading1"/>
    <w:uiPriority w:val="9"/>
    <w:rsid w:val="0078402F"/>
    <w:rPr>
      <w:rFonts w:ascii="Times New Roman" w:eastAsia="Times New Roman" w:hAnsi="Times New Roman" w:cs="Times New Roman"/>
      <w:b/>
      <w:bCs/>
      <w:kern w:val="36"/>
      <w:sz w:val="48"/>
      <w:szCs w:val="48"/>
      <w:lang w:eastAsia="en-IN"/>
    </w:rPr>
  </w:style>
  <w:style w:type="character" w:customStyle="1" w:styleId="UnresolvedMention2">
    <w:name w:val="Unresolved Mention2"/>
    <w:basedOn w:val="DefaultParagraphFont"/>
    <w:uiPriority w:val="99"/>
    <w:semiHidden/>
    <w:unhideWhenUsed/>
    <w:rsid w:val="00145AD7"/>
    <w:rPr>
      <w:color w:val="605E5C"/>
      <w:shd w:val="clear" w:color="auto" w:fill="E1DFDD"/>
    </w:rPr>
  </w:style>
  <w:style w:type="paragraph" w:styleId="Header">
    <w:name w:val="header"/>
    <w:basedOn w:val="Normal"/>
    <w:link w:val="HeaderChar"/>
    <w:uiPriority w:val="99"/>
    <w:unhideWhenUsed/>
    <w:rsid w:val="006A6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690"/>
  </w:style>
  <w:style w:type="paragraph" w:styleId="Footer">
    <w:name w:val="footer"/>
    <w:basedOn w:val="Normal"/>
    <w:link w:val="FooterChar"/>
    <w:uiPriority w:val="99"/>
    <w:unhideWhenUsed/>
    <w:rsid w:val="006A6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690"/>
  </w:style>
  <w:style w:type="character" w:customStyle="1" w:styleId="UnresolvedMention">
    <w:name w:val="Unresolved Mention"/>
    <w:basedOn w:val="DefaultParagraphFont"/>
    <w:uiPriority w:val="99"/>
    <w:semiHidden/>
    <w:unhideWhenUsed/>
    <w:rsid w:val="00AB4A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4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8619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304E"/>
    <w:pPr>
      <w:spacing w:after="0" w:line="240" w:lineRule="auto"/>
    </w:pPr>
    <w:rPr>
      <w:sz w:val="20"/>
      <w:szCs w:val="20"/>
    </w:rPr>
  </w:style>
  <w:style w:type="character" w:customStyle="1" w:styleId="FootnoteTextChar">
    <w:name w:val="Footnote Text Char"/>
    <w:basedOn w:val="DefaultParagraphFont"/>
    <w:link w:val="FootnoteText"/>
    <w:uiPriority w:val="99"/>
    <w:rsid w:val="005F304E"/>
    <w:rPr>
      <w:sz w:val="20"/>
      <w:szCs w:val="20"/>
    </w:rPr>
  </w:style>
  <w:style w:type="character" w:styleId="FootnoteReference">
    <w:name w:val="footnote reference"/>
    <w:basedOn w:val="DefaultParagraphFont"/>
    <w:uiPriority w:val="99"/>
    <w:semiHidden/>
    <w:unhideWhenUsed/>
    <w:rsid w:val="005F304E"/>
    <w:rPr>
      <w:vertAlign w:val="superscript"/>
    </w:rPr>
  </w:style>
  <w:style w:type="paragraph" w:styleId="ListParagraph">
    <w:name w:val="List Paragraph"/>
    <w:basedOn w:val="Normal"/>
    <w:uiPriority w:val="34"/>
    <w:qFormat/>
    <w:rsid w:val="00040F23"/>
    <w:pPr>
      <w:ind w:left="720"/>
      <w:contextualSpacing/>
    </w:pPr>
  </w:style>
  <w:style w:type="character" w:styleId="Hyperlink">
    <w:name w:val="Hyperlink"/>
    <w:basedOn w:val="DefaultParagraphFont"/>
    <w:uiPriority w:val="99"/>
    <w:unhideWhenUsed/>
    <w:rsid w:val="00135412"/>
    <w:rPr>
      <w:color w:val="0563C1" w:themeColor="hyperlink"/>
      <w:u w:val="single"/>
    </w:rPr>
  </w:style>
  <w:style w:type="character" w:customStyle="1" w:styleId="UnresolvedMention1">
    <w:name w:val="Unresolved Mention1"/>
    <w:basedOn w:val="DefaultParagraphFont"/>
    <w:uiPriority w:val="99"/>
    <w:semiHidden/>
    <w:unhideWhenUsed/>
    <w:rsid w:val="00135412"/>
    <w:rPr>
      <w:color w:val="605E5C"/>
      <w:shd w:val="clear" w:color="auto" w:fill="E1DFDD"/>
    </w:rPr>
  </w:style>
  <w:style w:type="paragraph" w:styleId="NormalWeb">
    <w:name w:val="Normal (Web)"/>
    <w:basedOn w:val="Normal"/>
    <w:uiPriority w:val="99"/>
    <w:semiHidden/>
    <w:unhideWhenUsed/>
    <w:rsid w:val="00271B6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71B60"/>
    <w:rPr>
      <w:i/>
      <w:iCs/>
    </w:rPr>
  </w:style>
  <w:style w:type="paragraph" w:styleId="HTMLPreformatted">
    <w:name w:val="HTML Preformatted"/>
    <w:basedOn w:val="Normal"/>
    <w:link w:val="HTMLPreformattedChar"/>
    <w:uiPriority w:val="99"/>
    <w:semiHidden/>
    <w:unhideWhenUsed/>
    <w:rsid w:val="00BD52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5287"/>
    <w:rPr>
      <w:rFonts w:ascii="Consolas" w:hAnsi="Consolas"/>
      <w:sz w:val="20"/>
      <w:szCs w:val="20"/>
    </w:rPr>
  </w:style>
  <w:style w:type="character" w:customStyle="1" w:styleId="Heading4Char">
    <w:name w:val="Heading 4 Char"/>
    <w:basedOn w:val="DefaultParagraphFont"/>
    <w:link w:val="Heading4"/>
    <w:uiPriority w:val="9"/>
    <w:semiHidden/>
    <w:rsid w:val="0086190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A44C0"/>
    <w:rPr>
      <w:sz w:val="16"/>
      <w:szCs w:val="16"/>
    </w:rPr>
  </w:style>
  <w:style w:type="paragraph" w:styleId="CommentText">
    <w:name w:val="annotation text"/>
    <w:basedOn w:val="Normal"/>
    <w:link w:val="CommentTextChar"/>
    <w:uiPriority w:val="99"/>
    <w:semiHidden/>
    <w:unhideWhenUsed/>
    <w:rsid w:val="005A44C0"/>
    <w:pPr>
      <w:spacing w:line="240" w:lineRule="auto"/>
    </w:pPr>
    <w:rPr>
      <w:sz w:val="20"/>
      <w:szCs w:val="20"/>
    </w:rPr>
  </w:style>
  <w:style w:type="character" w:customStyle="1" w:styleId="CommentTextChar">
    <w:name w:val="Comment Text Char"/>
    <w:basedOn w:val="DefaultParagraphFont"/>
    <w:link w:val="CommentText"/>
    <w:uiPriority w:val="99"/>
    <w:semiHidden/>
    <w:rsid w:val="005A44C0"/>
    <w:rPr>
      <w:sz w:val="20"/>
      <w:szCs w:val="20"/>
    </w:rPr>
  </w:style>
  <w:style w:type="paragraph" w:styleId="CommentSubject">
    <w:name w:val="annotation subject"/>
    <w:basedOn w:val="CommentText"/>
    <w:next w:val="CommentText"/>
    <w:link w:val="CommentSubjectChar"/>
    <w:uiPriority w:val="99"/>
    <w:semiHidden/>
    <w:unhideWhenUsed/>
    <w:rsid w:val="005A44C0"/>
    <w:rPr>
      <w:b/>
      <w:bCs/>
    </w:rPr>
  </w:style>
  <w:style w:type="character" w:customStyle="1" w:styleId="CommentSubjectChar">
    <w:name w:val="Comment Subject Char"/>
    <w:basedOn w:val="CommentTextChar"/>
    <w:link w:val="CommentSubject"/>
    <w:uiPriority w:val="99"/>
    <w:semiHidden/>
    <w:rsid w:val="005A44C0"/>
    <w:rPr>
      <w:b/>
      <w:bCs/>
      <w:sz w:val="20"/>
      <w:szCs w:val="20"/>
    </w:rPr>
  </w:style>
  <w:style w:type="paragraph" w:styleId="BalloonText">
    <w:name w:val="Balloon Text"/>
    <w:basedOn w:val="Normal"/>
    <w:link w:val="BalloonTextChar"/>
    <w:uiPriority w:val="99"/>
    <w:semiHidden/>
    <w:unhideWhenUsed/>
    <w:rsid w:val="005A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4C0"/>
    <w:rPr>
      <w:rFonts w:ascii="Segoe UI" w:hAnsi="Segoe UI" w:cs="Segoe UI"/>
      <w:sz w:val="18"/>
      <w:szCs w:val="18"/>
    </w:rPr>
  </w:style>
  <w:style w:type="character" w:styleId="SubtleEmphasis">
    <w:name w:val="Subtle Emphasis"/>
    <w:basedOn w:val="DefaultParagraphFont"/>
    <w:uiPriority w:val="19"/>
    <w:qFormat/>
    <w:rsid w:val="006D6F80"/>
    <w:rPr>
      <w:i/>
      <w:iCs/>
      <w:color w:val="404040" w:themeColor="text1" w:themeTint="BF"/>
    </w:rPr>
  </w:style>
  <w:style w:type="character" w:customStyle="1" w:styleId="Heading1Char">
    <w:name w:val="Heading 1 Char"/>
    <w:basedOn w:val="DefaultParagraphFont"/>
    <w:link w:val="Heading1"/>
    <w:uiPriority w:val="9"/>
    <w:rsid w:val="0078402F"/>
    <w:rPr>
      <w:rFonts w:ascii="Times New Roman" w:eastAsia="Times New Roman" w:hAnsi="Times New Roman" w:cs="Times New Roman"/>
      <w:b/>
      <w:bCs/>
      <w:kern w:val="36"/>
      <w:sz w:val="48"/>
      <w:szCs w:val="48"/>
      <w:lang w:eastAsia="en-IN"/>
    </w:rPr>
  </w:style>
  <w:style w:type="character" w:customStyle="1" w:styleId="UnresolvedMention2">
    <w:name w:val="Unresolved Mention2"/>
    <w:basedOn w:val="DefaultParagraphFont"/>
    <w:uiPriority w:val="99"/>
    <w:semiHidden/>
    <w:unhideWhenUsed/>
    <w:rsid w:val="00145AD7"/>
    <w:rPr>
      <w:color w:val="605E5C"/>
      <w:shd w:val="clear" w:color="auto" w:fill="E1DFDD"/>
    </w:rPr>
  </w:style>
  <w:style w:type="paragraph" w:styleId="Header">
    <w:name w:val="header"/>
    <w:basedOn w:val="Normal"/>
    <w:link w:val="HeaderChar"/>
    <w:uiPriority w:val="99"/>
    <w:unhideWhenUsed/>
    <w:rsid w:val="006A6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690"/>
  </w:style>
  <w:style w:type="paragraph" w:styleId="Footer">
    <w:name w:val="footer"/>
    <w:basedOn w:val="Normal"/>
    <w:link w:val="FooterChar"/>
    <w:uiPriority w:val="99"/>
    <w:unhideWhenUsed/>
    <w:rsid w:val="006A6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690"/>
  </w:style>
  <w:style w:type="character" w:customStyle="1" w:styleId="UnresolvedMention">
    <w:name w:val="Unresolved Mention"/>
    <w:basedOn w:val="DefaultParagraphFont"/>
    <w:uiPriority w:val="99"/>
    <w:semiHidden/>
    <w:unhideWhenUsed/>
    <w:rsid w:val="00AB4A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983043">
      <w:bodyDiv w:val="1"/>
      <w:marLeft w:val="0"/>
      <w:marRight w:val="0"/>
      <w:marTop w:val="0"/>
      <w:marBottom w:val="0"/>
      <w:divBdr>
        <w:top w:val="none" w:sz="0" w:space="0" w:color="auto"/>
        <w:left w:val="none" w:sz="0" w:space="0" w:color="auto"/>
        <w:bottom w:val="none" w:sz="0" w:space="0" w:color="auto"/>
        <w:right w:val="none" w:sz="0" w:space="0" w:color="auto"/>
      </w:divBdr>
    </w:div>
    <w:div w:id="617638488">
      <w:bodyDiv w:val="1"/>
      <w:marLeft w:val="0"/>
      <w:marRight w:val="0"/>
      <w:marTop w:val="0"/>
      <w:marBottom w:val="0"/>
      <w:divBdr>
        <w:top w:val="none" w:sz="0" w:space="0" w:color="auto"/>
        <w:left w:val="none" w:sz="0" w:space="0" w:color="auto"/>
        <w:bottom w:val="none" w:sz="0" w:space="0" w:color="auto"/>
        <w:right w:val="none" w:sz="0" w:space="0" w:color="auto"/>
      </w:divBdr>
    </w:div>
    <w:div w:id="842429454">
      <w:bodyDiv w:val="1"/>
      <w:marLeft w:val="0"/>
      <w:marRight w:val="0"/>
      <w:marTop w:val="0"/>
      <w:marBottom w:val="0"/>
      <w:divBdr>
        <w:top w:val="none" w:sz="0" w:space="0" w:color="auto"/>
        <w:left w:val="none" w:sz="0" w:space="0" w:color="auto"/>
        <w:bottom w:val="none" w:sz="0" w:space="0" w:color="auto"/>
        <w:right w:val="none" w:sz="0" w:space="0" w:color="auto"/>
      </w:divBdr>
    </w:div>
    <w:div w:id="987248759">
      <w:bodyDiv w:val="1"/>
      <w:marLeft w:val="0"/>
      <w:marRight w:val="0"/>
      <w:marTop w:val="0"/>
      <w:marBottom w:val="0"/>
      <w:divBdr>
        <w:top w:val="none" w:sz="0" w:space="0" w:color="auto"/>
        <w:left w:val="none" w:sz="0" w:space="0" w:color="auto"/>
        <w:bottom w:val="none" w:sz="0" w:space="0" w:color="auto"/>
        <w:right w:val="none" w:sz="0" w:space="0" w:color="auto"/>
      </w:divBdr>
    </w:div>
    <w:div w:id="1476992606">
      <w:bodyDiv w:val="1"/>
      <w:marLeft w:val="0"/>
      <w:marRight w:val="0"/>
      <w:marTop w:val="0"/>
      <w:marBottom w:val="0"/>
      <w:divBdr>
        <w:top w:val="none" w:sz="0" w:space="0" w:color="auto"/>
        <w:left w:val="none" w:sz="0" w:space="0" w:color="auto"/>
        <w:bottom w:val="none" w:sz="0" w:space="0" w:color="auto"/>
        <w:right w:val="none" w:sz="0" w:space="0" w:color="auto"/>
      </w:divBdr>
    </w:div>
    <w:div w:id="1510486715">
      <w:bodyDiv w:val="1"/>
      <w:marLeft w:val="0"/>
      <w:marRight w:val="0"/>
      <w:marTop w:val="0"/>
      <w:marBottom w:val="0"/>
      <w:divBdr>
        <w:top w:val="none" w:sz="0" w:space="0" w:color="auto"/>
        <w:left w:val="none" w:sz="0" w:space="0" w:color="auto"/>
        <w:bottom w:val="none" w:sz="0" w:space="0" w:color="auto"/>
        <w:right w:val="none" w:sz="0" w:space="0" w:color="auto"/>
      </w:divBdr>
    </w:div>
    <w:div w:id="208694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thehindu.com/news/national/no-plans-to-reduce-age-of-consent-for-relationships-centre/article66288969.ece" TargetMode="External"/><Relationship Id="rId2" Type="http://schemas.openxmlformats.org/officeDocument/2006/relationships/hyperlink" Target="https://vmml-cwds.ac.in/sites/default/files/2024-05/Why_Girls_Run_Away_to_Marry_Adolescent.pdf" TargetMode="External"/><Relationship Id="rId1" Type="http://schemas.openxmlformats.org/officeDocument/2006/relationships/hyperlink" Target="https://chnm.gmu.edu/cyh/teaching-modules/2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0946-C117-46A6-AFE2-CB3FBBBF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7594</Words>
  <Characters>43286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Aayush Tripathi</dc:creator>
  <cp:lastModifiedBy>HAJI AKBAR</cp:lastModifiedBy>
  <cp:revision>41</cp:revision>
  <cp:lastPrinted>2024-07-30T05:43:00Z</cp:lastPrinted>
  <dcterms:created xsi:type="dcterms:W3CDTF">1979-12-31T19:31:00Z</dcterms:created>
  <dcterms:modified xsi:type="dcterms:W3CDTF">1979-12-31T20:07:00Z</dcterms:modified>
</cp:coreProperties>
</file>